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44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5429"/>
      </w:tblGrid>
      <w:tr w:rsidR="007C300A" w:rsidRPr="008D0AD9" w14:paraId="450CF730" w14:textId="77777777" w:rsidTr="00126655">
        <w:trPr>
          <w:jc w:val="center"/>
        </w:trPr>
        <w:tc>
          <w:tcPr>
            <w:tcW w:w="7020" w:type="dxa"/>
            <w:shd w:val="clear" w:color="auto" w:fill="1A204B"/>
            <w:tcMar>
              <w:top w:w="115" w:type="dxa"/>
              <w:left w:w="145" w:type="dxa"/>
              <w:bottom w:w="105" w:type="dxa"/>
              <w:right w:w="145" w:type="dxa"/>
            </w:tcMar>
          </w:tcPr>
          <w:p w14:paraId="083BF8A8" w14:textId="77777777" w:rsidR="007C300A" w:rsidRPr="008D0AD9" w:rsidRDefault="007C300A" w:rsidP="00E126A7">
            <w:pPr>
              <w:pStyle w:val="Heading1"/>
              <w:spacing w:before="0"/>
              <w:ind w:left="703" w:hanging="50"/>
              <w:rPr>
                <w:rFonts w:ascii="Roboto" w:hAnsi="Roboto"/>
                <w:color w:val="EABE3F"/>
                <w:sz w:val="32"/>
                <w:szCs w:val="32"/>
              </w:rPr>
            </w:pPr>
            <w:r w:rsidRPr="008D0AD9">
              <w:rPr>
                <w:rFonts w:ascii="Roboto" w:hAnsi="Roboto"/>
                <w:color w:val="EABE3F"/>
                <w:sz w:val="32"/>
                <w:szCs w:val="32"/>
              </w:rPr>
              <w:t>NIBIN / Crime Gun Intelligence Center</w:t>
            </w:r>
          </w:p>
          <w:p w14:paraId="0C52FAB0" w14:textId="61D059C6" w:rsidR="007C300A" w:rsidRPr="008D0AD9" w:rsidRDefault="007C300A" w:rsidP="007C300A">
            <w:pPr>
              <w:spacing w:after="0"/>
              <w:ind w:firstLine="653"/>
              <w:rPr>
                <w:rFonts w:ascii="Libre Franklin" w:hAnsi="Libre Franklin"/>
                <w:sz w:val="24"/>
                <w:szCs w:val="24"/>
              </w:rPr>
            </w:pPr>
            <w:r>
              <w:rPr>
                <w:rFonts w:ascii="Roboto" w:hAnsi="Roboto"/>
                <w:b/>
                <w:color w:val="E8E8E8"/>
                <w:sz w:val="24"/>
                <w:szCs w:val="24"/>
              </w:rPr>
              <w:t>EXECUTIVE OVERVIEW</w:t>
            </w:r>
          </w:p>
        </w:tc>
        <w:tc>
          <w:tcPr>
            <w:tcW w:w="5429" w:type="dxa"/>
            <w:shd w:val="clear" w:color="auto" w:fill="1A204B"/>
            <w:tcMar>
              <w:top w:w="115" w:type="dxa"/>
              <w:left w:w="145" w:type="dxa"/>
              <w:bottom w:w="105" w:type="dxa"/>
              <w:right w:w="145" w:type="dxa"/>
            </w:tcMar>
          </w:tcPr>
          <w:p w14:paraId="5B4AD0AA" w14:textId="77777777" w:rsidR="007C300A" w:rsidRPr="00850951" w:rsidRDefault="007C300A" w:rsidP="007C300A">
            <w:pPr>
              <w:spacing w:after="0"/>
              <w:jc w:val="center"/>
              <w:rPr>
                <w:rFonts w:ascii="Roboto" w:hAnsi="Roboto"/>
                <w:b/>
                <w:color w:val="E8E8E8"/>
                <w:sz w:val="16"/>
              </w:rPr>
            </w:pPr>
          </w:p>
          <w:p w14:paraId="603400F8" w14:textId="77777777" w:rsidR="007C300A" w:rsidRPr="008D0AD9" w:rsidRDefault="007C300A" w:rsidP="007C300A">
            <w:pPr>
              <w:jc w:val="center"/>
              <w:rPr>
                <w:rFonts w:ascii="Roboto" w:hAnsi="Roboto"/>
                <w:color w:val="E8E8E8"/>
                <w:sz w:val="24"/>
                <w:szCs w:val="24"/>
              </w:rPr>
            </w:pPr>
            <w:r w:rsidRPr="008D0AD9">
              <w:rPr>
                <w:rFonts w:ascii="Roboto" w:hAnsi="Roboto"/>
                <w:b/>
                <w:color w:val="E8E8E8"/>
                <w:sz w:val="18"/>
                <w:szCs w:val="24"/>
              </w:rPr>
              <w:t xml:space="preserve">                                                                          [AGENCY LOGO]</w:t>
            </w:r>
          </w:p>
          <w:p w14:paraId="4616038F" w14:textId="77777777" w:rsidR="007C300A" w:rsidRPr="00850951" w:rsidRDefault="007C300A" w:rsidP="007C300A">
            <w:pPr>
              <w:spacing w:after="0"/>
              <w:jc w:val="center"/>
              <w:rPr>
                <w:rFonts w:ascii="Roboto" w:hAnsi="Roboto"/>
                <w:b/>
                <w:color w:val="E8E8E8"/>
                <w:sz w:val="16"/>
              </w:rPr>
            </w:pPr>
          </w:p>
          <w:p w14:paraId="3D822688" w14:textId="595B3DFB" w:rsidR="007C300A" w:rsidRPr="008D0AD9" w:rsidRDefault="007C300A" w:rsidP="007C300A">
            <w:pPr>
              <w:spacing w:after="0"/>
              <w:jc w:val="center"/>
              <w:rPr>
                <w:rFonts w:ascii="Roboto" w:hAnsi="Roboto"/>
                <w:color w:val="E8E8E8"/>
                <w:sz w:val="24"/>
                <w:szCs w:val="24"/>
              </w:rPr>
            </w:pPr>
          </w:p>
        </w:tc>
      </w:tr>
    </w:tbl>
    <w:p w14:paraId="1D73C6BB" w14:textId="1110F6B8" w:rsidR="00A42158" w:rsidRPr="0087535A" w:rsidRDefault="00A54C00" w:rsidP="009D6846">
      <w:pPr>
        <w:spacing w:before="100" w:after="0"/>
        <w:rPr>
          <w:rFonts w:ascii="Libre Franklin" w:hAnsi="Libre Franklin"/>
          <w:b/>
          <w:i/>
          <w:iCs/>
          <w:color w:val="1A204B"/>
          <w:szCs w:val="24"/>
        </w:rPr>
      </w:pPr>
      <w:r w:rsidRPr="0087535A">
        <w:rPr>
          <w:rFonts w:ascii="Libre Franklin" w:hAnsi="Libre Franklin"/>
          <w:b/>
          <w:i/>
          <w:iCs/>
          <w:color w:val="1A204B"/>
          <w:szCs w:val="24"/>
        </w:rPr>
        <w:t>What incoming leaders need to know and what they need to protect</w:t>
      </w:r>
    </w:p>
    <w:p w14:paraId="33895E93" w14:textId="77777777" w:rsidR="0087535A" w:rsidRPr="008D0AD9" w:rsidRDefault="0087535A" w:rsidP="0087535A">
      <w:pPr>
        <w:spacing w:after="80"/>
        <w:rPr>
          <w:rFonts w:ascii="Roboto" w:hAnsi="Roboto"/>
          <w:color w:val="1A204B"/>
          <w:sz w:val="24"/>
          <w:szCs w:val="24"/>
        </w:rPr>
      </w:pPr>
      <w:r w:rsidRPr="008D0AD9">
        <w:rPr>
          <w:rFonts w:ascii="Roboto" w:hAnsi="Roboto"/>
          <w:b/>
          <w:color w:val="1A204B"/>
          <w:sz w:val="24"/>
          <w:szCs w:val="24"/>
        </w:rPr>
        <w:t>WHAT IS NIBIN?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858"/>
      </w:tblGrid>
      <w:tr w:rsidR="00A42158" w:rsidRPr="008D0AD9" w14:paraId="7CC7ABBE" w14:textId="77777777" w:rsidTr="0087535A">
        <w:trPr>
          <w:jc w:val="center"/>
        </w:trPr>
        <w:tc>
          <w:tcPr>
            <w:tcW w:w="10858" w:type="dxa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tcMar>
              <w:top w:w="95" w:type="dxa"/>
              <w:left w:w="135" w:type="dxa"/>
              <w:bottom w:w="95" w:type="dxa"/>
              <w:right w:w="135" w:type="dxa"/>
            </w:tcMar>
          </w:tcPr>
          <w:p w14:paraId="56BD20F6" w14:textId="7EA508F2" w:rsidR="00A42158" w:rsidRPr="008D0AD9" w:rsidRDefault="00A54C00">
            <w:pPr>
              <w:spacing w:after="40" w:line="240" w:lineRule="auto"/>
              <w:rPr>
                <w:rFonts w:ascii="Libre Franklin" w:hAnsi="Libre Franklin"/>
                <w:color w:val="000000" w:themeColor="text1"/>
                <w:sz w:val="24"/>
                <w:szCs w:val="24"/>
              </w:rPr>
            </w:pPr>
            <w:r w:rsidRPr="008D0AD9">
              <w:rPr>
                <w:rFonts w:ascii="Libre Franklin" w:hAnsi="Libre Franklin"/>
                <w:color w:val="000000" w:themeColor="text1"/>
                <w:sz w:val="18"/>
                <w:szCs w:val="24"/>
              </w:rPr>
              <w:t xml:space="preserve">The National Integrated Ballistic Information Network (NIBIN) is </w:t>
            </w:r>
            <w:r w:rsidR="00240249" w:rsidRPr="008D0AD9">
              <w:rPr>
                <w:rFonts w:ascii="Libre Franklin" w:hAnsi="Libre Franklin"/>
                <w:color w:val="000000" w:themeColor="text1"/>
                <w:sz w:val="18"/>
                <w:szCs w:val="24"/>
              </w:rPr>
              <w:t>the Bureau of Alcohol, Tobacco, Firearms, and Explosives (</w:t>
            </w:r>
            <w:r w:rsidRPr="008D0AD9">
              <w:rPr>
                <w:rFonts w:ascii="Libre Franklin" w:hAnsi="Libre Franklin"/>
                <w:color w:val="000000" w:themeColor="text1"/>
                <w:sz w:val="18"/>
                <w:szCs w:val="24"/>
              </w:rPr>
              <w:t>ATF's</w:t>
            </w:r>
            <w:r w:rsidR="00240249" w:rsidRPr="008D0AD9">
              <w:rPr>
                <w:rFonts w:ascii="Libre Franklin" w:hAnsi="Libre Franklin"/>
                <w:color w:val="000000" w:themeColor="text1"/>
                <w:sz w:val="18"/>
                <w:szCs w:val="24"/>
              </w:rPr>
              <w:t>)</w:t>
            </w:r>
            <w:r w:rsidRPr="008D0AD9">
              <w:rPr>
                <w:rFonts w:ascii="Libre Franklin" w:hAnsi="Libre Franklin"/>
                <w:color w:val="000000" w:themeColor="text1"/>
                <w:sz w:val="18"/>
                <w:szCs w:val="24"/>
              </w:rPr>
              <w:t xml:space="preserve"> national automated ballistic imaging network. It compares images of cartridge cases recovered from shooting scenes and test-fires from recovered crime guns to identify potential associations between ballistic evidence. A NIBIN lead can reveal a previously unknown connection between shootings, recovered firearms, and investigations - including connections across jurisdictions.</w:t>
            </w:r>
          </w:p>
          <w:p w14:paraId="30A67448" w14:textId="77777777" w:rsidR="00A42158" w:rsidRPr="008D0AD9" w:rsidRDefault="00A54C00">
            <w:pPr>
              <w:spacing w:after="0" w:line="240" w:lineRule="auto"/>
              <w:rPr>
                <w:rFonts w:ascii="Libre Franklin" w:hAnsi="Libre Franklin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 xml:space="preserve">Important: </w:t>
            </w:r>
            <w:r w:rsidRPr="008D0AD9">
              <w:rPr>
                <w:rFonts w:ascii="Libre Franklin" w:hAnsi="Libre Franklin"/>
                <w:color w:val="000000" w:themeColor="text1"/>
                <w:sz w:val="18"/>
                <w:szCs w:val="24"/>
              </w:rPr>
              <w:t>A NIBIN lead is investigative intelligence, not a laboratory confirmation. Its value depends on timely review, dissemination, and investigative follow-up.</w:t>
            </w:r>
          </w:p>
        </w:tc>
      </w:tr>
    </w:tbl>
    <w:p w14:paraId="1314A411" w14:textId="77777777" w:rsidR="00A42158" w:rsidRPr="0087535A" w:rsidRDefault="00A54C00">
      <w:pPr>
        <w:spacing w:before="80" w:after="60"/>
        <w:rPr>
          <w:rFonts w:ascii="Roboto" w:hAnsi="Roboto"/>
          <w:color w:val="1A204B"/>
          <w:sz w:val="24"/>
          <w:szCs w:val="24"/>
        </w:rPr>
      </w:pPr>
      <w:r w:rsidRPr="0087535A">
        <w:rPr>
          <w:rFonts w:ascii="Roboto" w:hAnsi="Roboto"/>
          <w:b/>
          <w:color w:val="1A204B"/>
          <w:sz w:val="24"/>
          <w:szCs w:val="24"/>
        </w:rPr>
        <w:t>HOW NIBIN INFORMATION BECOMES ACTIONABLE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1"/>
        <w:gridCol w:w="1551"/>
        <w:gridCol w:w="1551"/>
        <w:gridCol w:w="1551"/>
        <w:gridCol w:w="1551"/>
        <w:gridCol w:w="1551"/>
        <w:gridCol w:w="1551"/>
      </w:tblGrid>
      <w:tr w:rsidR="00A42158" w:rsidRPr="008D0AD9" w14:paraId="14FEF1E2" w14:textId="77777777" w:rsidTr="0087535A">
        <w:trPr>
          <w:trHeight w:val="450"/>
          <w:jc w:val="center"/>
        </w:trPr>
        <w:tc>
          <w:tcPr>
            <w:tcW w:w="1551" w:type="dxa"/>
            <w:shd w:val="clear" w:color="auto" w:fill="E8E8E8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19E6E663" w14:textId="77777777" w:rsidR="00A42158" w:rsidRPr="008D0AD9" w:rsidRDefault="00A54C00" w:rsidP="00E02BE1">
            <w:pPr>
              <w:spacing w:after="0"/>
              <w:jc w:val="center"/>
              <w:rPr>
                <w:rFonts w:ascii="Libre Franklin" w:hAnsi="Libre Franklin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>Crime Gun</w:t>
            </w:r>
            <w:r w:rsidRPr="008D0AD9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br/>
              <w:t>Evidence</w:t>
            </w:r>
          </w:p>
        </w:tc>
        <w:tc>
          <w:tcPr>
            <w:tcW w:w="1551" w:type="dxa"/>
            <w:shd w:val="clear" w:color="auto" w:fill="FFFFFF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4A211F02" w14:textId="77777777" w:rsidR="00A42158" w:rsidRPr="008D0AD9" w:rsidRDefault="00A54C00">
            <w:pPr>
              <w:jc w:val="center"/>
              <w:rPr>
                <w:rFonts w:ascii="Libre Franklin" w:hAnsi="Libre Franklin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1A204B"/>
                <w:sz w:val="36"/>
                <w:szCs w:val="24"/>
              </w:rPr>
              <w:t>›</w:t>
            </w:r>
          </w:p>
        </w:tc>
        <w:tc>
          <w:tcPr>
            <w:tcW w:w="1551" w:type="dxa"/>
            <w:shd w:val="clear" w:color="auto" w:fill="5F2342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3AF6EA8" w14:textId="77777777" w:rsidR="00A42158" w:rsidRPr="008D0AD9" w:rsidRDefault="00A54C00" w:rsidP="00E02BE1">
            <w:pPr>
              <w:spacing w:after="0"/>
              <w:jc w:val="center"/>
              <w:rPr>
                <w:rFonts w:ascii="Libre Franklin" w:hAnsi="Libre Franklin"/>
                <w:color w:val="EABE3F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>NIBIN</w:t>
            </w:r>
            <w:r w:rsidRPr="008D0AD9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br/>
              <w:t>Entry</w:t>
            </w:r>
          </w:p>
        </w:tc>
        <w:tc>
          <w:tcPr>
            <w:tcW w:w="1551" w:type="dxa"/>
            <w:shd w:val="clear" w:color="auto" w:fill="FFFFFF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2C35288E" w14:textId="77777777" w:rsidR="00A42158" w:rsidRPr="008D0AD9" w:rsidRDefault="00A54C00">
            <w:pPr>
              <w:jc w:val="center"/>
              <w:rPr>
                <w:rFonts w:ascii="Libre Franklin" w:hAnsi="Libre Franklin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1A204B"/>
                <w:sz w:val="36"/>
                <w:szCs w:val="24"/>
              </w:rPr>
              <w:t>›</w:t>
            </w:r>
          </w:p>
        </w:tc>
        <w:tc>
          <w:tcPr>
            <w:tcW w:w="1551" w:type="dxa"/>
            <w:shd w:val="clear" w:color="auto" w:fill="1A4B2E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0E619D4A" w14:textId="77777777" w:rsidR="00A42158" w:rsidRPr="008D0AD9" w:rsidRDefault="00A54C00" w:rsidP="00E02BE1">
            <w:pPr>
              <w:spacing w:after="0"/>
              <w:jc w:val="center"/>
              <w:rPr>
                <w:rFonts w:ascii="Libre Franklin" w:hAnsi="Libre Franklin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E8E8E8"/>
                <w:sz w:val="18"/>
                <w:szCs w:val="24"/>
              </w:rPr>
              <w:t>NIBIN</w:t>
            </w:r>
            <w:r w:rsidRPr="008D0AD9">
              <w:rPr>
                <w:rFonts w:ascii="Libre Franklin" w:hAnsi="Libre Franklin"/>
                <w:b/>
                <w:color w:val="E8E8E8"/>
                <w:sz w:val="18"/>
                <w:szCs w:val="24"/>
              </w:rPr>
              <w:br/>
              <w:t>Lead</w:t>
            </w:r>
          </w:p>
        </w:tc>
        <w:tc>
          <w:tcPr>
            <w:tcW w:w="1551" w:type="dxa"/>
            <w:shd w:val="clear" w:color="auto" w:fill="FFFFFF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51DBE138" w14:textId="77777777" w:rsidR="00A42158" w:rsidRPr="008D0AD9" w:rsidRDefault="00A54C00">
            <w:pPr>
              <w:jc w:val="center"/>
              <w:rPr>
                <w:rFonts w:ascii="Libre Franklin" w:hAnsi="Libre Franklin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1A204B"/>
                <w:sz w:val="36"/>
                <w:szCs w:val="24"/>
              </w:rPr>
              <w:t>›</w:t>
            </w:r>
          </w:p>
        </w:tc>
        <w:tc>
          <w:tcPr>
            <w:tcW w:w="1551" w:type="dxa"/>
            <w:shd w:val="clear" w:color="auto" w:fill="1A204B"/>
            <w:tcMar>
              <w:top w:w="70" w:type="dxa"/>
              <w:left w:w="35" w:type="dxa"/>
              <w:bottom w:w="70" w:type="dxa"/>
              <w:right w:w="35" w:type="dxa"/>
            </w:tcMar>
            <w:vAlign w:val="center"/>
          </w:tcPr>
          <w:p w14:paraId="7B5C0A2A" w14:textId="77777777" w:rsidR="00A42158" w:rsidRPr="008D0AD9" w:rsidRDefault="00A54C00" w:rsidP="00E02BE1">
            <w:pPr>
              <w:spacing w:after="0"/>
              <w:jc w:val="center"/>
              <w:rPr>
                <w:rFonts w:ascii="Libre Franklin" w:hAnsi="Libre Franklin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E8E8E8"/>
                <w:sz w:val="18"/>
                <w:szCs w:val="24"/>
              </w:rPr>
              <w:t>Analysis + Investigative Follow-Up</w:t>
            </w:r>
          </w:p>
        </w:tc>
      </w:tr>
    </w:tbl>
    <w:p w14:paraId="139231E9" w14:textId="77777777" w:rsidR="00A42158" w:rsidRPr="0087535A" w:rsidRDefault="00A42158">
      <w:pPr>
        <w:spacing w:after="40"/>
        <w:rPr>
          <w:rFonts w:ascii="Libre Franklin" w:hAnsi="Libre Franklin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29"/>
        <w:gridCol w:w="5429"/>
      </w:tblGrid>
      <w:tr w:rsidR="00A42158" w:rsidRPr="008D0AD9" w14:paraId="073F911C" w14:textId="77777777" w:rsidTr="0087535A">
        <w:trPr>
          <w:jc w:val="center"/>
        </w:trPr>
        <w:tc>
          <w:tcPr>
            <w:tcW w:w="5429" w:type="dxa"/>
            <w:shd w:val="clear" w:color="auto" w:fill="1A204B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6A918412" w14:textId="77777777" w:rsidR="00A42158" w:rsidRPr="008D0AD9" w:rsidRDefault="00A54C00">
            <w:pPr>
              <w:spacing w:after="80"/>
              <w:rPr>
                <w:rFonts w:ascii="Roboto" w:hAnsi="Roboto"/>
                <w:color w:val="EABE3F"/>
                <w:sz w:val="24"/>
                <w:szCs w:val="24"/>
              </w:rPr>
            </w:pPr>
            <w:r w:rsidRPr="008D0AD9">
              <w:rPr>
                <w:rFonts w:ascii="Roboto" w:hAnsi="Roboto"/>
                <w:b/>
                <w:color w:val="EABE3F"/>
                <w:sz w:val="24"/>
                <w:szCs w:val="24"/>
              </w:rPr>
              <w:t>WHERE THE CGIC FITS</w:t>
            </w:r>
          </w:p>
          <w:p w14:paraId="6B848ADE" w14:textId="77777777" w:rsidR="00A42158" w:rsidRPr="008D0AD9" w:rsidRDefault="00A54C00">
            <w:pPr>
              <w:spacing w:after="80" w:line="240" w:lineRule="auto"/>
              <w:rPr>
                <w:rFonts w:ascii="Libre Franklin" w:hAnsi="Libre Franklin"/>
                <w:color w:val="EABE3F"/>
                <w:sz w:val="24"/>
                <w:szCs w:val="24"/>
              </w:rPr>
            </w:pPr>
            <w:r w:rsidRPr="008D0AD9">
              <w:rPr>
                <w:rFonts w:ascii="Libre Franklin" w:hAnsi="Libre Franklin"/>
                <w:color w:val="E8E8E8"/>
                <w:sz w:val="18"/>
                <w:szCs w:val="24"/>
              </w:rPr>
              <w:t xml:space="preserve">A Crime Gun Intelligence Center (CGIC) is the coordinated capability that turns crime gun evidence and NIBIN information into timely, actionable intelligence. </w:t>
            </w:r>
            <w:r w:rsidRPr="008D0AD9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>It is more than a NIBIN entry operation.</w:t>
            </w:r>
          </w:p>
          <w:p w14:paraId="56D048CE" w14:textId="77777777" w:rsidR="00A42158" w:rsidRPr="008D0AD9" w:rsidRDefault="00A54C00">
            <w:pPr>
              <w:spacing w:after="40" w:line="240" w:lineRule="auto"/>
              <w:ind w:left="187" w:hanging="158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 xml:space="preserve">• </w:t>
            </w:r>
            <w:r w:rsidRPr="008D0AD9">
              <w:rPr>
                <w:rFonts w:ascii="Libre Franklin" w:hAnsi="Libre Franklin"/>
                <w:color w:val="E8E8E8"/>
                <w:sz w:val="18"/>
                <w:szCs w:val="24"/>
              </w:rPr>
              <w:t>Connects evidence processing, NIBIN, analysis, investigations, and prosecution.</w:t>
            </w:r>
          </w:p>
          <w:p w14:paraId="0F85DEBB" w14:textId="77777777" w:rsidR="00A42158" w:rsidRPr="008D0AD9" w:rsidRDefault="00A54C00">
            <w:pPr>
              <w:spacing w:after="40" w:line="240" w:lineRule="auto"/>
              <w:ind w:left="187" w:hanging="158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>•</w:t>
            </w:r>
            <w:r w:rsidRPr="008D0AD9">
              <w:rPr>
                <w:rFonts w:ascii="Libre Franklin" w:hAnsi="Libre Franklin"/>
                <w:b/>
                <w:color w:val="E8E8E8"/>
                <w:sz w:val="18"/>
                <w:szCs w:val="24"/>
              </w:rPr>
              <w:t xml:space="preserve"> </w:t>
            </w:r>
            <w:r w:rsidRPr="008D0AD9">
              <w:rPr>
                <w:rFonts w:ascii="Libre Franklin" w:hAnsi="Libre Franklin"/>
                <w:color w:val="E8E8E8"/>
                <w:sz w:val="18"/>
                <w:szCs w:val="24"/>
              </w:rPr>
              <w:t>Creates clear workflows and accountability for acting on leads.</w:t>
            </w:r>
          </w:p>
          <w:p w14:paraId="1DBE61E2" w14:textId="77777777" w:rsidR="00A42158" w:rsidRPr="008D0AD9" w:rsidRDefault="00A54C00">
            <w:pPr>
              <w:spacing w:after="40" w:line="240" w:lineRule="auto"/>
              <w:ind w:left="187" w:hanging="158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 xml:space="preserve">• </w:t>
            </w:r>
            <w:r w:rsidRPr="008D0AD9">
              <w:rPr>
                <w:rFonts w:ascii="Libre Franklin" w:hAnsi="Libre Franklin"/>
                <w:color w:val="E8E8E8"/>
                <w:sz w:val="18"/>
                <w:szCs w:val="24"/>
              </w:rPr>
              <w:t>Supports information sharing across units and jurisdictional boundaries.</w:t>
            </w:r>
          </w:p>
          <w:p w14:paraId="2BBDEC8D" w14:textId="77777777" w:rsidR="00A42158" w:rsidRPr="008D0AD9" w:rsidRDefault="00A54C00">
            <w:pPr>
              <w:spacing w:after="40" w:line="240" w:lineRule="auto"/>
              <w:ind w:left="187" w:hanging="158"/>
              <w:rPr>
                <w:rFonts w:ascii="Libre Franklin" w:hAnsi="Libre Franklin"/>
                <w:sz w:val="24"/>
                <w:szCs w:val="24"/>
              </w:rPr>
            </w:pPr>
            <w:r w:rsidRPr="008D0AD9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 xml:space="preserve">• </w:t>
            </w:r>
            <w:r w:rsidRPr="008D0AD9">
              <w:rPr>
                <w:rFonts w:ascii="Libre Franklin" w:hAnsi="Libre Franklin"/>
                <w:color w:val="E8E8E8"/>
                <w:sz w:val="18"/>
                <w:szCs w:val="24"/>
              </w:rPr>
              <w:t>Uses partnerships and performance information to improve the response to firearm violence.</w:t>
            </w:r>
          </w:p>
        </w:tc>
        <w:tc>
          <w:tcPr>
            <w:tcW w:w="5429" w:type="dxa"/>
            <w:shd w:val="clear" w:color="auto" w:fill="EABE3F"/>
            <w:tcMar>
              <w:top w:w="90" w:type="dxa"/>
              <w:left w:w="120" w:type="dxa"/>
              <w:bottom w:w="80" w:type="dxa"/>
              <w:right w:w="120" w:type="dxa"/>
            </w:tcMar>
          </w:tcPr>
          <w:p w14:paraId="3028A1B5" w14:textId="77777777" w:rsidR="00A42158" w:rsidRPr="00C07EDC" w:rsidRDefault="00A54C00">
            <w:pPr>
              <w:spacing w:after="80"/>
              <w:rPr>
                <w:rFonts w:ascii="Roboto" w:hAnsi="Roboto"/>
                <w:color w:val="1A204B"/>
                <w:sz w:val="24"/>
                <w:szCs w:val="24"/>
              </w:rPr>
            </w:pPr>
            <w:r w:rsidRPr="00C07EDC">
              <w:rPr>
                <w:rFonts w:ascii="Roboto" w:hAnsi="Roboto"/>
                <w:b/>
                <w:color w:val="1A204B"/>
                <w:sz w:val="24"/>
                <w:szCs w:val="24"/>
              </w:rPr>
              <w:t>WHY LEADERSHIP MATTERS</w:t>
            </w:r>
          </w:p>
          <w:p w14:paraId="21D07758" w14:textId="77777777" w:rsidR="00A42158" w:rsidRPr="00C07EDC" w:rsidRDefault="00A54C00">
            <w:pPr>
              <w:spacing w:after="80" w:line="240" w:lineRule="auto"/>
              <w:rPr>
                <w:rFonts w:ascii="Libre Franklin" w:hAnsi="Libre Franklin"/>
                <w:color w:val="1A204B"/>
                <w:sz w:val="24"/>
                <w:szCs w:val="24"/>
              </w:rPr>
            </w:pPr>
            <w:r w:rsidRPr="008D0AD9">
              <w:rPr>
                <w:rFonts w:ascii="Libre Franklin" w:hAnsi="Libre Franklin"/>
                <w:color w:val="1A204B"/>
                <w:sz w:val="18"/>
                <w:szCs w:val="24"/>
              </w:rPr>
              <w:t xml:space="preserve">Technology alone does not create a successful CGIC. </w:t>
            </w:r>
            <w:r w:rsidRPr="00C07EDC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>Leadership creates the conditions that allow the process to work and continue working.</w:t>
            </w:r>
          </w:p>
          <w:p w14:paraId="557F3599" w14:textId="77777777" w:rsidR="00A42158" w:rsidRPr="008D0AD9" w:rsidRDefault="00A54C00">
            <w:pPr>
              <w:spacing w:after="30" w:line="240" w:lineRule="auto"/>
              <w:rPr>
                <w:rFonts w:ascii="Libre Franklin" w:hAnsi="Libre Franklin"/>
                <w:color w:val="1A204B"/>
                <w:sz w:val="24"/>
                <w:szCs w:val="24"/>
              </w:rPr>
            </w:pPr>
            <w:r w:rsidRPr="00C07EDC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 xml:space="preserve">Timeliness: </w:t>
            </w:r>
            <w:r w:rsidRPr="008D0AD9">
              <w:rPr>
                <w:rFonts w:ascii="Libre Franklin" w:hAnsi="Libre Franklin"/>
                <w:color w:val="1A204B"/>
                <w:sz w:val="18"/>
                <w:szCs w:val="24"/>
              </w:rPr>
              <w:t>Evidence and intelligence move quickly enough to remain useful.</w:t>
            </w:r>
          </w:p>
          <w:p w14:paraId="0C380521" w14:textId="77777777" w:rsidR="00A42158" w:rsidRPr="008D0AD9" w:rsidRDefault="00A54C00">
            <w:pPr>
              <w:spacing w:after="30" w:line="240" w:lineRule="auto"/>
              <w:rPr>
                <w:rFonts w:ascii="Libre Franklin" w:hAnsi="Libre Franklin"/>
                <w:color w:val="1A204B"/>
                <w:sz w:val="24"/>
                <w:szCs w:val="24"/>
              </w:rPr>
            </w:pPr>
            <w:r w:rsidRPr="00C07EDC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 xml:space="preserve">Accountability: </w:t>
            </w:r>
            <w:r w:rsidRPr="008D0AD9">
              <w:rPr>
                <w:rFonts w:ascii="Libre Franklin" w:hAnsi="Libre Franklin"/>
                <w:color w:val="1A204B"/>
                <w:sz w:val="18"/>
                <w:szCs w:val="24"/>
              </w:rPr>
              <w:t>Roles and responsibilities are clear.</w:t>
            </w:r>
          </w:p>
          <w:p w14:paraId="5C296E98" w14:textId="77777777" w:rsidR="00A42158" w:rsidRPr="008D0AD9" w:rsidRDefault="00A54C00">
            <w:pPr>
              <w:spacing w:after="30" w:line="240" w:lineRule="auto"/>
              <w:rPr>
                <w:rFonts w:ascii="Libre Franklin" w:hAnsi="Libre Franklin"/>
                <w:color w:val="1A204B"/>
                <w:sz w:val="24"/>
                <w:szCs w:val="24"/>
              </w:rPr>
            </w:pPr>
            <w:r w:rsidRPr="00C07EDC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 xml:space="preserve">People: </w:t>
            </w:r>
            <w:r w:rsidRPr="008D0AD9">
              <w:rPr>
                <w:rFonts w:ascii="Libre Franklin" w:hAnsi="Libre Franklin"/>
                <w:color w:val="1A204B"/>
                <w:sz w:val="18"/>
                <w:szCs w:val="24"/>
              </w:rPr>
              <w:t>Staffing, training, cross-training, and succession are supported.</w:t>
            </w:r>
          </w:p>
          <w:p w14:paraId="3C84B27B" w14:textId="77777777" w:rsidR="00A42158" w:rsidRPr="008D0AD9" w:rsidRDefault="00A54C00">
            <w:pPr>
              <w:spacing w:after="30" w:line="240" w:lineRule="auto"/>
              <w:rPr>
                <w:rFonts w:ascii="Libre Franklin" w:hAnsi="Libre Franklin"/>
                <w:color w:val="1A204B"/>
                <w:sz w:val="24"/>
                <w:szCs w:val="24"/>
              </w:rPr>
            </w:pPr>
            <w:r w:rsidRPr="00C07EDC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 xml:space="preserve">Resources: </w:t>
            </w:r>
            <w:r w:rsidRPr="008D0AD9">
              <w:rPr>
                <w:rFonts w:ascii="Libre Franklin" w:hAnsi="Libre Franklin"/>
                <w:color w:val="1A204B"/>
                <w:sz w:val="18"/>
                <w:szCs w:val="24"/>
              </w:rPr>
              <w:t>Equipment, technology, maintenance, and funding are planned.</w:t>
            </w:r>
          </w:p>
          <w:p w14:paraId="49BFFCCA" w14:textId="77777777" w:rsidR="00A42158" w:rsidRPr="008D0AD9" w:rsidRDefault="00A54C00">
            <w:pPr>
              <w:spacing w:after="30" w:line="240" w:lineRule="auto"/>
              <w:rPr>
                <w:rFonts w:ascii="Libre Franklin" w:hAnsi="Libre Franklin"/>
                <w:color w:val="1A204B"/>
                <w:sz w:val="24"/>
                <w:szCs w:val="24"/>
              </w:rPr>
            </w:pPr>
            <w:r w:rsidRPr="00C07EDC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 xml:space="preserve">Partnerships: </w:t>
            </w:r>
            <w:r w:rsidRPr="008D0AD9">
              <w:rPr>
                <w:rFonts w:ascii="Libre Franklin" w:hAnsi="Libre Franklin"/>
                <w:color w:val="1A204B"/>
                <w:sz w:val="18"/>
                <w:szCs w:val="24"/>
              </w:rPr>
              <w:t>Internal and external relationships remain active.</w:t>
            </w:r>
          </w:p>
          <w:p w14:paraId="65519EA2" w14:textId="77777777" w:rsidR="00A42158" w:rsidRPr="008D0AD9" w:rsidRDefault="00A54C00">
            <w:pPr>
              <w:spacing w:after="30" w:line="240" w:lineRule="auto"/>
              <w:rPr>
                <w:rFonts w:ascii="Libre Franklin" w:hAnsi="Libre Franklin"/>
                <w:sz w:val="24"/>
                <w:szCs w:val="24"/>
              </w:rPr>
            </w:pPr>
            <w:r w:rsidRPr="00C07EDC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 xml:space="preserve">Performance: </w:t>
            </w:r>
            <w:r w:rsidRPr="008D0AD9">
              <w:rPr>
                <w:rFonts w:ascii="Libre Franklin" w:hAnsi="Libre Franklin"/>
                <w:color w:val="1A204B"/>
                <w:sz w:val="18"/>
                <w:szCs w:val="24"/>
              </w:rPr>
              <w:t>Leaders know whether the program is producing useful results.</w:t>
            </w:r>
          </w:p>
        </w:tc>
      </w:tr>
    </w:tbl>
    <w:p w14:paraId="2CAE93FF" w14:textId="77777777" w:rsidR="00A42158" w:rsidRPr="0087535A" w:rsidRDefault="00A54C00">
      <w:pPr>
        <w:spacing w:before="80" w:after="40"/>
        <w:rPr>
          <w:rFonts w:ascii="Roboto" w:hAnsi="Roboto"/>
          <w:color w:val="1A204B"/>
          <w:sz w:val="24"/>
          <w:szCs w:val="24"/>
        </w:rPr>
      </w:pPr>
      <w:r w:rsidRPr="0087535A">
        <w:rPr>
          <w:rFonts w:ascii="Roboto" w:hAnsi="Roboto"/>
          <w:b/>
          <w:color w:val="1A204B"/>
          <w:sz w:val="24"/>
          <w:szCs w:val="24"/>
        </w:rPr>
        <w:t>WHAT INCOMING LEADERS SHOULD PROTECT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19"/>
        <w:gridCol w:w="3619"/>
        <w:gridCol w:w="3619"/>
      </w:tblGrid>
      <w:tr w:rsidR="00A42158" w:rsidRPr="008D0AD9" w14:paraId="01E40189" w14:textId="77777777" w:rsidTr="00E02BE1">
        <w:trPr>
          <w:jc w:val="center"/>
        </w:trPr>
        <w:tc>
          <w:tcPr>
            <w:tcW w:w="3619" w:type="dxa"/>
            <w:tcBorders>
              <w:bottom w:val="single" w:sz="5" w:space="0" w:color="D8DEE5"/>
              <w:right w:val="single" w:sz="5" w:space="0" w:color="D8DEE5"/>
            </w:tcBorders>
            <w:shd w:val="clear" w:color="auto" w:fill="E8E8E8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407079A6" w14:textId="77777777" w:rsidR="00A42158" w:rsidRPr="00E02BE1" w:rsidRDefault="00A54C00" w:rsidP="009D6846">
            <w:pPr>
              <w:spacing w:after="0"/>
              <w:rPr>
                <w:rFonts w:ascii="Libre Franklin" w:hAnsi="Libre Franklin"/>
                <w:color w:val="1A204B"/>
                <w:sz w:val="24"/>
                <w:szCs w:val="24"/>
              </w:rPr>
            </w:pPr>
            <w:r w:rsidRPr="00E02BE1">
              <w:rPr>
                <w:rFonts w:ascii="Libre Franklin" w:hAnsi="Libre Franklin"/>
                <w:b/>
                <w:color w:val="1A204B"/>
                <w:sz w:val="16"/>
                <w:szCs w:val="24"/>
              </w:rPr>
              <w:t>OWNERSHIP</w:t>
            </w:r>
          </w:p>
          <w:p w14:paraId="35F7B13E" w14:textId="77777777" w:rsidR="00A42158" w:rsidRPr="008D0AD9" w:rsidRDefault="00A54C00" w:rsidP="009D6846">
            <w:pPr>
              <w:spacing w:after="0" w:line="240" w:lineRule="auto"/>
              <w:rPr>
                <w:rFonts w:ascii="Libre Franklin" w:hAnsi="Libre Franklin"/>
                <w:sz w:val="24"/>
                <w:szCs w:val="24"/>
              </w:rPr>
            </w:pPr>
            <w:r w:rsidRPr="00E02BE1">
              <w:rPr>
                <w:rFonts w:ascii="Libre Franklin" w:hAnsi="Libre Franklin"/>
                <w:color w:val="000000" w:themeColor="text1"/>
                <w:sz w:val="16"/>
                <w:szCs w:val="24"/>
              </w:rPr>
              <w:t>Clear program responsibility and executive sponsorship</w:t>
            </w:r>
          </w:p>
        </w:tc>
        <w:tc>
          <w:tcPr>
            <w:tcW w:w="3619" w:type="dxa"/>
            <w:tcBorders>
              <w:bottom w:val="single" w:sz="5" w:space="0" w:color="D8DEE5"/>
              <w:right w:val="single" w:sz="5" w:space="0" w:color="D8DEE5"/>
            </w:tcBorders>
            <w:shd w:val="clear" w:color="auto" w:fill="5F2342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7A576C7D" w14:textId="77777777" w:rsidR="00A42158" w:rsidRPr="00E02BE1" w:rsidRDefault="00A54C00" w:rsidP="009D6846">
            <w:pPr>
              <w:spacing w:after="0"/>
              <w:rPr>
                <w:rFonts w:ascii="Libre Franklin" w:hAnsi="Libre Franklin"/>
                <w:color w:val="EABE3F"/>
                <w:sz w:val="24"/>
                <w:szCs w:val="24"/>
              </w:rPr>
            </w:pPr>
            <w:r w:rsidRPr="00E02BE1">
              <w:rPr>
                <w:rFonts w:ascii="Libre Franklin" w:hAnsi="Libre Franklin"/>
                <w:b/>
                <w:color w:val="EABE3F"/>
                <w:sz w:val="16"/>
                <w:szCs w:val="24"/>
              </w:rPr>
              <w:t>PEOPLE</w:t>
            </w:r>
          </w:p>
          <w:p w14:paraId="06E9F6DE" w14:textId="77777777" w:rsidR="00A42158" w:rsidRPr="00E02BE1" w:rsidRDefault="00A54C00" w:rsidP="009D6846">
            <w:pPr>
              <w:spacing w:after="0" w:line="240" w:lineRule="auto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E02BE1">
              <w:rPr>
                <w:rFonts w:ascii="Libre Franklin" w:hAnsi="Libre Franklin"/>
                <w:color w:val="E8E8E8"/>
                <w:sz w:val="16"/>
                <w:szCs w:val="24"/>
              </w:rPr>
              <w:t>Trained personnel, cross-training, and succession</w:t>
            </w:r>
          </w:p>
        </w:tc>
        <w:tc>
          <w:tcPr>
            <w:tcW w:w="3619" w:type="dxa"/>
            <w:tcBorders>
              <w:bottom w:val="single" w:sz="5" w:space="0" w:color="D8DEE5"/>
              <w:right w:val="single" w:sz="5" w:space="0" w:color="D8DEE5"/>
            </w:tcBorders>
            <w:shd w:val="clear" w:color="auto" w:fill="1A4B2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58B05513" w14:textId="77777777" w:rsidR="00A42158" w:rsidRPr="00E02BE1" w:rsidRDefault="00A54C00" w:rsidP="009D6846">
            <w:pPr>
              <w:spacing w:after="0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E02BE1">
              <w:rPr>
                <w:rFonts w:ascii="Libre Franklin" w:hAnsi="Libre Franklin"/>
                <w:b/>
                <w:color w:val="E8E8E8"/>
                <w:sz w:val="16"/>
                <w:szCs w:val="24"/>
              </w:rPr>
              <w:t>PROCESS</w:t>
            </w:r>
          </w:p>
          <w:p w14:paraId="7FBC9D1B" w14:textId="77777777" w:rsidR="00A42158" w:rsidRPr="00E02BE1" w:rsidRDefault="00A54C00" w:rsidP="009D6846">
            <w:pPr>
              <w:spacing w:after="0" w:line="240" w:lineRule="auto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E02BE1">
              <w:rPr>
                <w:rFonts w:ascii="Libre Franklin" w:hAnsi="Libre Franklin"/>
                <w:color w:val="EABE3F"/>
                <w:sz w:val="16"/>
                <w:szCs w:val="24"/>
              </w:rPr>
              <w:t>Documented workflows, quality, and timely follow-up</w:t>
            </w:r>
          </w:p>
        </w:tc>
      </w:tr>
      <w:tr w:rsidR="00A42158" w:rsidRPr="008D0AD9" w14:paraId="12AD3A16" w14:textId="77777777" w:rsidTr="00E02BE1">
        <w:trPr>
          <w:jc w:val="center"/>
        </w:trPr>
        <w:tc>
          <w:tcPr>
            <w:tcW w:w="3619" w:type="dxa"/>
            <w:tcBorders>
              <w:bottom w:val="single" w:sz="5" w:space="0" w:color="D8DEE5"/>
              <w:right w:val="single" w:sz="5" w:space="0" w:color="D8DEE5"/>
            </w:tcBorders>
            <w:shd w:val="clear" w:color="auto" w:fill="E8E8E8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231B8777" w14:textId="77777777" w:rsidR="00A42158" w:rsidRPr="00E02BE1" w:rsidRDefault="00A54C00" w:rsidP="009D6846">
            <w:pPr>
              <w:spacing w:after="0"/>
              <w:rPr>
                <w:rFonts w:ascii="Libre Franklin" w:hAnsi="Libre Franklin"/>
                <w:color w:val="1A204B"/>
                <w:sz w:val="24"/>
                <w:szCs w:val="24"/>
              </w:rPr>
            </w:pPr>
            <w:r w:rsidRPr="00E02BE1">
              <w:rPr>
                <w:rFonts w:ascii="Libre Franklin" w:hAnsi="Libre Franklin"/>
                <w:b/>
                <w:color w:val="1A204B"/>
                <w:sz w:val="16"/>
                <w:szCs w:val="24"/>
              </w:rPr>
              <w:t>RESOURCES</w:t>
            </w:r>
          </w:p>
          <w:p w14:paraId="72289787" w14:textId="77777777" w:rsidR="00A42158" w:rsidRPr="008D0AD9" w:rsidRDefault="00A54C00" w:rsidP="009D6846">
            <w:pPr>
              <w:spacing w:after="0" w:line="240" w:lineRule="auto"/>
              <w:rPr>
                <w:rFonts w:ascii="Libre Franklin" w:hAnsi="Libre Franklin"/>
                <w:sz w:val="24"/>
                <w:szCs w:val="24"/>
              </w:rPr>
            </w:pPr>
            <w:r w:rsidRPr="00E02BE1">
              <w:rPr>
                <w:rFonts w:ascii="Libre Franklin" w:hAnsi="Libre Franklin"/>
                <w:color w:val="000000" w:themeColor="text1"/>
                <w:sz w:val="16"/>
                <w:szCs w:val="24"/>
              </w:rPr>
              <w:t>Sustainable staffing, technology, equipment, and funding</w:t>
            </w:r>
          </w:p>
        </w:tc>
        <w:tc>
          <w:tcPr>
            <w:tcW w:w="3619" w:type="dxa"/>
            <w:tcBorders>
              <w:bottom w:val="single" w:sz="5" w:space="0" w:color="D8DEE5"/>
              <w:right w:val="single" w:sz="5" w:space="0" w:color="D8DEE5"/>
            </w:tcBorders>
            <w:shd w:val="clear" w:color="auto" w:fill="5F2342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1A4A08D6" w14:textId="77777777" w:rsidR="00A42158" w:rsidRPr="00E02BE1" w:rsidRDefault="00A54C00" w:rsidP="009D6846">
            <w:pPr>
              <w:spacing w:after="0"/>
              <w:rPr>
                <w:rFonts w:ascii="Libre Franklin" w:hAnsi="Libre Franklin"/>
                <w:color w:val="EABE3F"/>
                <w:sz w:val="24"/>
                <w:szCs w:val="24"/>
              </w:rPr>
            </w:pPr>
            <w:r w:rsidRPr="00E02BE1">
              <w:rPr>
                <w:rFonts w:ascii="Libre Franklin" w:hAnsi="Libre Franklin"/>
                <w:b/>
                <w:color w:val="EABE3F"/>
                <w:sz w:val="16"/>
                <w:szCs w:val="24"/>
              </w:rPr>
              <w:t>PARTNERSHIPS</w:t>
            </w:r>
          </w:p>
          <w:p w14:paraId="2541B7B6" w14:textId="77777777" w:rsidR="00A42158" w:rsidRPr="00E02BE1" w:rsidRDefault="00A54C00" w:rsidP="009D6846">
            <w:pPr>
              <w:spacing w:after="0" w:line="240" w:lineRule="auto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E02BE1">
              <w:rPr>
                <w:rFonts w:ascii="Libre Franklin" w:hAnsi="Libre Franklin"/>
                <w:color w:val="E8E8E8"/>
                <w:sz w:val="16"/>
                <w:szCs w:val="24"/>
              </w:rPr>
              <w:t>Strong investigative, prosecutorial, and regional relationships</w:t>
            </w:r>
          </w:p>
        </w:tc>
        <w:tc>
          <w:tcPr>
            <w:tcW w:w="3619" w:type="dxa"/>
            <w:tcBorders>
              <w:bottom w:val="single" w:sz="5" w:space="0" w:color="D8DEE5"/>
              <w:right w:val="single" w:sz="5" w:space="0" w:color="D8DEE5"/>
            </w:tcBorders>
            <w:shd w:val="clear" w:color="auto" w:fill="1A4B2E"/>
            <w:tcMar>
              <w:top w:w="55" w:type="dxa"/>
              <w:left w:w="75" w:type="dxa"/>
              <w:bottom w:w="55" w:type="dxa"/>
              <w:right w:w="75" w:type="dxa"/>
            </w:tcMar>
          </w:tcPr>
          <w:p w14:paraId="65317CE8" w14:textId="77777777" w:rsidR="00A42158" w:rsidRPr="00E02BE1" w:rsidRDefault="00A54C00" w:rsidP="009D6846">
            <w:pPr>
              <w:spacing w:after="0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E02BE1">
              <w:rPr>
                <w:rFonts w:ascii="Libre Franklin" w:hAnsi="Libre Franklin"/>
                <w:b/>
                <w:color w:val="E8E8E8"/>
                <w:sz w:val="16"/>
                <w:szCs w:val="24"/>
              </w:rPr>
              <w:t>MEASUREMENT</w:t>
            </w:r>
          </w:p>
          <w:p w14:paraId="3691CE89" w14:textId="77777777" w:rsidR="00A42158" w:rsidRPr="00E02BE1" w:rsidRDefault="00A54C00" w:rsidP="009D6846">
            <w:pPr>
              <w:spacing w:after="0" w:line="240" w:lineRule="auto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E02BE1">
              <w:rPr>
                <w:rFonts w:ascii="Libre Franklin" w:hAnsi="Libre Franklin"/>
                <w:color w:val="EABE3F"/>
                <w:sz w:val="16"/>
                <w:szCs w:val="24"/>
              </w:rPr>
              <w:t>Metrics that show timeliness, capacity, and investigative value</w:t>
            </w:r>
          </w:p>
        </w:tc>
      </w:tr>
    </w:tbl>
    <w:p w14:paraId="1A9A0914" w14:textId="77777777" w:rsidR="00A42158" w:rsidRPr="0087535A" w:rsidRDefault="00A42158">
      <w:pPr>
        <w:spacing w:before="80" w:after="40"/>
        <w:rPr>
          <w:rFonts w:ascii="Libre Franklin" w:hAnsi="Libre Franklin"/>
          <w:sz w:val="20"/>
          <w:szCs w:val="20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858"/>
      </w:tblGrid>
      <w:tr w:rsidR="00A42158" w:rsidRPr="008D0AD9" w14:paraId="19C5A057" w14:textId="77777777" w:rsidTr="00E02BE1">
        <w:trPr>
          <w:jc w:val="center"/>
        </w:trPr>
        <w:tc>
          <w:tcPr>
            <w:tcW w:w="10858" w:type="dxa"/>
            <w:shd w:val="clear" w:color="auto" w:fill="1A204B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5B08C1" w14:textId="77777777" w:rsidR="00A42158" w:rsidRPr="0087535A" w:rsidRDefault="00A54C00" w:rsidP="009D6846">
            <w:pPr>
              <w:spacing w:after="0"/>
              <w:rPr>
                <w:rFonts w:ascii="Libre Franklin" w:hAnsi="Libre Franklin"/>
                <w:b/>
                <w:color w:val="EABE3F"/>
                <w:sz w:val="24"/>
                <w:szCs w:val="24"/>
              </w:rPr>
            </w:pPr>
            <w:r w:rsidRPr="0087535A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>THE BOTTOM LINE</w:t>
            </w:r>
          </w:p>
          <w:p w14:paraId="196B8857" w14:textId="488E37BF" w:rsidR="00A42158" w:rsidRPr="0087535A" w:rsidRDefault="00A54C00" w:rsidP="009D6846">
            <w:pPr>
              <w:spacing w:after="0" w:line="240" w:lineRule="auto"/>
              <w:rPr>
                <w:rFonts w:ascii="Libre Franklin" w:hAnsi="Libre Franklin"/>
                <w:color w:val="E8E8E8"/>
                <w:sz w:val="24"/>
                <w:szCs w:val="24"/>
              </w:rPr>
            </w:pPr>
            <w:r w:rsidRPr="0087535A">
              <w:rPr>
                <w:rFonts w:ascii="Libre Franklin" w:hAnsi="Libre Franklin"/>
                <w:b/>
                <w:color w:val="E8E8E8"/>
                <w:sz w:val="21"/>
                <w:szCs w:val="24"/>
              </w:rPr>
              <w:t>NIBIN provides the connection. The CGIC provides the capability to act on it. Leadership makes that capability sustainable.</w:t>
            </w:r>
          </w:p>
          <w:p w14:paraId="4D5A3C3C" w14:textId="77777777" w:rsidR="00A42158" w:rsidRPr="008D0AD9" w:rsidRDefault="00A54C00" w:rsidP="009D6846">
            <w:pPr>
              <w:spacing w:after="0" w:line="240" w:lineRule="auto"/>
              <w:rPr>
                <w:rFonts w:ascii="Libre Franklin" w:hAnsi="Libre Franklin"/>
                <w:sz w:val="24"/>
                <w:szCs w:val="24"/>
              </w:rPr>
            </w:pPr>
            <w:r w:rsidRPr="0087535A">
              <w:rPr>
                <w:rFonts w:ascii="Libre Franklin" w:hAnsi="Libre Franklin"/>
                <w:color w:val="E8E8E8"/>
                <w:sz w:val="16"/>
                <w:szCs w:val="24"/>
              </w:rPr>
              <w:t>The goal is not simply to produce NIBIN leads - it is to ensure timely crime gun intelligence reaches the people who can use it, and that the organization can sustain that capability over time.</w:t>
            </w:r>
          </w:p>
        </w:tc>
      </w:tr>
    </w:tbl>
    <w:p w14:paraId="55DD6D3B" w14:textId="0810279C" w:rsidR="00E02BE1" w:rsidRPr="001D478B" w:rsidRDefault="00237D9E" w:rsidP="009D53E3">
      <w:pPr>
        <w:pStyle w:val="Footer"/>
        <w:tabs>
          <w:tab w:val="clear" w:pos="4680"/>
          <w:tab w:val="clear" w:pos="9360"/>
          <w:tab w:val="left" w:pos="3868"/>
          <w:tab w:val="left" w:pos="6698"/>
        </w:tabs>
        <w:rPr>
          <w:rFonts w:ascii="Libre Franklin" w:hAnsi="Libre Franklin"/>
          <w:color w:val="1A204B"/>
          <w:sz w:val="18"/>
          <w:szCs w:val="18"/>
        </w:rPr>
      </w:pPr>
      <w:r>
        <w:rPr>
          <w:rFonts w:ascii="Libre Franklin" w:hAnsi="Libre Franklin"/>
          <w:color w:val="1A204B"/>
          <w:sz w:val="18"/>
          <w:szCs w:val="18"/>
        </w:rPr>
        <w:tab/>
      </w:r>
      <w:r w:rsidR="009D53E3">
        <w:rPr>
          <w:rFonts w:ascii="Libre Franklin" w:hAnsi="Libre Franklin"/>
          <w:color w:val="1A204B"/>
          <w:sz w:val="18"/>
          <w:szCs w:val="18"/>
        </w:rPr>
        <w:tab/>
      </w:r>
    </w:p>
    <w:sectPr w:rsidR="00E02BE1" w:rsidRPr="001D478B" w:rsidSect="008D0AD9">
      <w:headerReference w:type="first" r:id="rId8"/>
      <w:footerReference w:type="first" r:id="rId9"/>
      <w:pgSz w:w="12240" w:h="15840"/>
      <w:pgMar w:top="605" w:right="691" w:bottom="547" w:left="69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1ECDF5" w14:textId="77777777" w:rsidR="006016E3" w:rsidRDefault="006016E3" w:rsidP="008D0AD9">
      <w:pPr>
        <w:spacing w:after="0" w:line="240" w:lineRule="auto"/>
      </w:pPr>
      <w:r>
        <w:separator/>
      </w:r>
    </w:p>
  </w:endnote>
  <w:endnote w:type="continuationSeparator" w:id="0">
    <w:p w14:paraId="2AA3FCD8" w14:textId="77777777" w:rsidR="006016E3" w:rsidRDefault="006016E3" w:rsidP="008D0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4ED41" w14:textId="77777777" w:rsidR="009D6846" w:rsidRPr="001D478B" w:rsidRDefault="009D6846" w:rsidP="009D6846">
    <w:pPr>
      <w:pStyle w:val="Footer"/>
      <w:jc w:val="center"/>
      <w:rPr>
        <w:rFonts w:ascii="Libre Franklin" w:hAnsi="Libre Franklin"/>
        <w:color w:val="1A204B"/>
        <w:sz w:val="18"/>
        <w:szCs w:val="18"/>
      </w:rPr>
    </w:pPr>
    <w:r w:rsidRPr="001D478B">
      <w:rPr>
        <w:rFonts w:ascii="Libre Franklin" w:hAnsi="Libre Franklin"/>
        <w:color w:val="1A204B"/>
        <w:sz w:val="18"/>
        <w:szCs w:val="18"/>
      </w:rPr>
      <w:t>[CGIC/NIBIN PROGRAM NAME] | [PROGRAM CONTACT] | [</w:t>
    </w:r>
    <w:r>
      <w:rPr>
        <w:rFonts w:ascii="Libre Franklin" w:hAnsi="Libre Franklin"/>
        <w:color w:val="1A204B"/>
        <w:sz w:val="18"/>
        <w:szCs w:val="18"/>
      </w:rPr>
      <w:t>EXECUTIVE SPONSOR</w:t>
    </w:r>
    <w:r w:rsidRPr="001D478B">
      <w:rPr>
        <w:rFonts w:ascii="Libre Franklin" w:hAnsi="Libre Franklin"/>
        <w:color w:val="1A204B"/>
        <w:sz w:val="18"/>
        <w:szCs w:val="18"/>
      </w:rPr>
      <w:t>] | [LOCAL RESOURCE LINK]</w:t>
    </w:r>
    <w:r w:rsidRPr="001D478B">
      <w:rPr>
        <w:rFonts w:ascii="Libre Franklin" w:hAnsi="Libre Franklin"/>
        <w:color w:val="1A204B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8E7349" w14:textId="77777777" w:rsidR="006016E3" w:rsidRDefault="006016E3" w:rsidP="008D0AD9">
      <w:pPr>
        <w:spacing w:after="0" w:line="240" w:lineRule="auto"/>
      </w:pPr>
      <w:r>
        <w:separator/>
      </w:r>
    </w:p>
  </w:footnote>
  <w:footnote w:type="continuationSeparator" w:id="0">
    <w:p w14:paraId="131E20BA" w14:textId="77777777" w:rsidR="006016E3" w:rsidRDefault="006016E3" w:rsidP="008D0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6790B" w14:textId="04F00671" w:rsidR="008D0AD9" w:rsidRDefault="008D0AD9">
    <w:pPr>
      <w:pStyle w:val="Header"/>
    </w:pPr>
    <w:r>
      <w:rPr>
        <w:noProof/>
      </w:rPr>
      <w:drawing>
        <wp:inline distT="0" distB="0" distL="0" distR="0" wp14:anchorId="0733CBBC" wp14:editId="691BA4FD">
          <wp:extent cx="2923953" cy="458842"/>
          <wp:effectExtent l="0" t="0" r="0" b="0"/>
          <wp:docPr id="929168011" name="Picture 1" descr="Crime Gun Intelligence Centers: Connecting the Do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68011" name="Picture 1" descr="Crime Gun Intelligence Centers: Connecting the Dots Logo"/>
                  <pic:cNvPicPr/>
                </pic:nvPicPr>
                <pic:blipFill rotWithShape="1">
                  <a:blip r:embed="rId1"/>
                  <a:srcRect b="26696"/>
                  <a:stretch>
                    <a:fillRect/>
                  </a:stretch>
                </pic:blipFill>
                <pic:spPr bwMode="auto">
                  <a:xfrm>
                    <a:off x="0" y="0"/>
                    <a:ext cx="4070026" cy="638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4327176">
    <w:abstractNumId w:val="8"/>
  </w:num>
  <w:num w:numId="2" w16cid:durableId="233006313">
    <w:abstractNumId w:val="6"/>
  </w:num>
  <w:num w:numId="3" w16cid:durableId="570584410">
    <w:abstractNumId w:val="5"/>
  </w:num>
  <w:num w:numId="4" w16cid:durableId="1247300687">
    <w:abstractNumId w:val="4"/>
  </w:num>
  <w:num w:numId="5" w16cid:durableId="409079453">
    <w:abstractNumId w:val="7"/>
  </w:num>
  <w:num w:numId="6" w16cid:durableId="602038035">
    <w:abstractNumId w:val="3"/>
  </w:num>
  <w:num w:numId="7" w16cid:durableId="743188470">
    <w:abstractNumId w:val="2"/>
  </w:num>
  <w:num w:numId="8" w16cid:durableId="1453285484">
    <w:abstractNumId w:val="1"/>
  </w:num>
  <w:num w:numId="9" w16cid:durableId="13051163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1120"/>
    <w:rsid w:val="0015074B"/>
    <w:rsid w:val="00211386"/>
    <w:rsid w:val="00237D9E"/>
    <w:rsid w:val="00240249"/>
    <w:rsid w:val="0029639D"/>
    <w:rsid w:val="003108F7"/>
    <w:rsid w:val="00326F90"/>
    <w:rsid w:val="00351EBB"/>
    <w:rsid w:val="003733C4"/>
    <w:rsid w:val="006016E3"/>
    <w:rsid w:val="007C300A"/>
    <w:rsid w:val="0087535A"/>
    <w:rsid w:val="008D0AD9"/>
    <w:rsid w:val="009A35BD"/>
    <w:rsid w:val="009B1CFC"/>
    <w:rsid w:val="009D53E3"/>
    <w:rsid w:val="009D6846"/>
    <w:rsid w:val="00A42158"/>
    <w:rsid w:val="00A54C00"/>
    <w:rsid w:val="00A61326"/>
    <w:rsid w:val="00AA1D8D"/>
    <w:rsid w:val="00B47730"/>
    <w:rsid w:val="00B739EE"/>
    <w:rsid w:val="00C07EDC"/>
    <w:rsid w:val="00CB0664"/>
    <w:rsid w:val="00E02BE1"/>
    <w:rsid w:val="00E126A7"/>
    <w:rsid w:val="00E82338"/>
    <w:rsid w:val="00F618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B6A707"/>
  <w14:defaultImageDpi w14:val="300"/>
  <w15:docId w15:val="{8D17FE5C-551D-E14D-9F99-C7A7EF79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24024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51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1E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E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398</Words>
  <Characters>2528</Characters>
  <Application>Microsoft Office Word</Application>
  <DocSecurity>0</DocSecurity>
  <Lines>63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NIBIN / CGIC Executive Overview</vt:lpstr>
    </vt:vector>
  </TitlesOfParts>
  <Manager/>
  <Company/>
  <LinksUpToDate>false</LinksUpToDate>
  <CharactersWithSpaces>2882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NIBIN / CGIC Executive Overview</dc:title>
  <dc:subject>Agency-neutral executive overview for NIBIN/CGIC leadership education</dc:subject>
  <dc:creator>NPI</dc:creator>
  <cp:keywords/>
  <dc:description/>
  <cp:lastModifiedBy>Alan Hughes</cp:lastModifiedBy>
  <cp:revision>15</cp:revision>
  <dcterms:created xsi:type="dcterms:W3CDTF">2026-08-10T21:46:00Z</dcterms:created>
  <dcterms:modified xsi:type="dcterms:W3CDTF">2026-09-28T23:46:00Z</dcterms:modified>
  <cp:category/>
</cp:coreProperties>
</file>