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2449" w:type="dxa"/>
        <w:jc w:val="center"/>
        <w:tblBorders>
          <w:top w:val="nil"/>
          <w:left w:val="nil"/>
          <w:bottom w:val="nil"/>
          <w:right w:val="nil"/>
          <w:insideH w:val="nil"/>
          <w:insideV w:val="nil"/>
        </w:tblBorders>
        <w:tblLayout w:type="fixed"/>
        <w:tblLook w:val="04A0" w:firstRow="1" w:lastRow="0" w:firstColumn="1" w:lastColumn="0" w:noHBand="0" w:noVBand="1"/>
      </w:tblPr>
      <w:tblGrid>
        <w:gridCol w:w="7020"/>
        <w:gridCol w:w="5429"/>
      </w:tblGrid>
      <w:tr w:rsidR="00541521" w:rsidRPr="008D0AD9" w14:paraId="738613CC" w14:textId="77777777" w:rsidTr="00541521">
        <w:trPr>
          <w:jc w:val="center"/>
        </w:trPr>
        <w:tc>
          <w:tcPr>
            <w:tcW w:w="7020" w:type="dxa"/>
            <w:shd w:val="clear" w:color="auto" w:fill="1A204B"/>
            <w:tcMar>
              <w:top w:w="115" w:type="dxa"/>
              <w:left w:w="145" w:type="dxa"/>
              <w:bottom w:w="105" w:type="dxa"/>
              <w:right w:w="145" w:type="dxa"/>
            </w:tcMar>
          </w:tcPr>
          <w:p w14:paraId="43C538DD" w14:textId="77777777" w:rsidR="00541521" w:rsidRPr="008D0AD9" w:rsidRDefault="00541521" w:rsidP="00AB1D03">
            <w:pPr>
              <w:pStyle w:val="Heading1"/>
              <w:spacing w:before="0"/>
              <w:ind w:left="703" w:hanging="50"/>
              <w:rPr>
                <w:rFonts w:ascii="Roboto" w:hAnsi="Roboto"/>
                <w:color w:val="EABE3F"/>
                <w:sz w:val="32"/>
                <w:szCs w:val="32"/>
              </w:rPr>
            </w:pPr>
            <w:r w:rsidRPr="008D0AD9">
              <w:rPr>
                <w:rFonts w:ascii="Roboto" w:hAnsi="Roboto"/>
                <w:color w:val="EABE3F"/>
                <w:sz w:val="32"/>
                <w:szCs w:val="32"/>
              </w:rPr>
              <w:t>NIBIN / Crime Gun Intelligence Center</w:t>
            </w:r>
          </w:p>
          <w:p w14:paraId="00234663" w14:textId="487973D3" w:rsidR="00541521" w:rsidRPr="008D0AD9" w:rsidRDefault="00541521" w:rsidP="00AB1D03">
            <w:pPr>
              <w:spacing w:after="0"/>
              <w:ind w:firstLine="653"/>
              <w:rPr>
                <w:rFonts w:ascii="Libre Franklin" w:hAnsi="Libre Franklin"/>
                <w:sz w:val="24"/>
                <w:szCs w:val="24"/>
              </w:rPr>
            </w:pPr>
            <w:r>
              <w:rPr>
                <w:rFonts w:ascii="Roboto" w:hAnsi="Roboto"/>
                <w:b/>
                <w:color w:val="E8E8E8"/>
                <w:sz w:val="24"/>
                <w:szCs w:val="24"/>
              </w:rPr>
              <w:t xml:space="preserve">EXECUTIVE </w:t>
            </w:r>
            <w:r>
              <w:rPr>
                <w:rFonts w:ascii="Roboto" w:hAnsi="Roboto"/>
                <w:b/>
                <w:color w:val="E8E8E8"/>
                <w:sz w:val="24"/>
                <w:szCs w:val="24"/>
              </w:rPr>
              <w:t>Q&amp;A Guide</w:t>
            </w:r>
          </w:p>
        </w:tc>
        <w:tc>
          <w:tcPr>
            <w:tcW w:w="5429" w:type="dxa"/>
            <w:shd w:val="clear" w:color="auto" w:fill="1A204B"/>
            <w:tcMar>
              <w:top w:w="115" w:type="dxa"/>
              <w:left w:w="145" w:type="dxa"/>
              <w:bottom w:w="105" w:type="dxa"/>
              <w:right w:w="145" w:type="dxa"/>
            </w:tcMar>
          </w:tcPr>
          <w:p w14:paraId="644FFE1B" w14:textId="77777777" w:rsidR="00541521" w:rsidRPr="00850951" w:rsidRDefault="00541521" w:rsidP="00AB1D03">
            <w:pPr>
              <w:spacing w:after="0"/>
              <w:jc w:val="center"/>
              <w:rPr>
                <w:rFonts w:ascii="Roboto" w:hAnsi="Roboto"/>
                <w:b/>
                <w:color w:val="E8E8E8"/>
                <w:sz w:val="16"/>
              </w:rPr>
            </w:pPr>
          </w:p>
          <w:p w14:paraId="6BD45036" w14:textId="77777777" w:rsidR="00541521" w:rsidRPr="008D0AD9" w:rsidRDefault="00541521" w:rsidP="00AB1D03">
            <w:pPr>
              <w:jc w:val="center"/>
              <w:rPr>
                <w:rFonts w:ascii="Roboto" w:hAnsi="Roboto"/>
                <w:color w:val="E8E8E8"/>
                <w:sz w:val="24"/>
                <w:szCs w:val="24"/>
              </w:rPr>
            </w:pPr>
            <w:r w:rsidRPr="008D0AD9">
              <w:rPr>
                <w:rFonts w:ascii="Roboto" w:hAnsi="Roboto"/>
                <w:b/>
                <w:color w:val="E8E8E8"/>
                <w:szCs w:val="24"/>
              </w:rPr>
              <w:t xml:space="preserve">                                                                          [AGENCY LOGO]</w:t>
            </w:r>
          </w:p>
          <w:p w14:paraId="4B162040" w14:textId="77777777" w:rsidR="00541521" w:rsidRPr="00850951" w:rsidRDefault="00541521" w:rsidP="00AB1D03">
            <w:pPr>
              <w:spacing w:after="0"/>
              <w:jc w:val="center"/>
              <w:rPr>
                <w:rFonts w:ascii="Roboto" w:hAnsi="Roboto"/>
                <w:b/>
                <w:color w:val="E8E8E8"/>
                <w:sz w:val="16"/>
              </w:rPr>
            </w:pPr>
          </w:p>
          <w:p w14:paraId="2AE02206" w14:textId="77777777" w:rsidR="00541521" w:rsidRPr="008D0AD9" w:rsidRDefault="00541521" w:rsidP="00AB1D03">
            <w:pPr>
              <w:spacing w:after="0"/>
              <w:jc w:val="center"/>
              <w:rPr>
                <w:rFonts w:ascii="Roboto" w:hAnsi="Roboto"/>
                <w:color w:val="E8E8E8"/>
                <w:sz w:val="24"/>
                <w:szCs w:val="24"/>
              </w:rPr>
            </w:pPr>
          </w:p>
        </w:tc>
      </w:tr>
    </w:tbl>
    <w:p w14:paraId="637DF9F3" w14:textId="77777777" w:rsidR="00BD4303" w:rsidRPr="00541521" w:rsidRDefault="002750F5">
      <w:pPr>
        <w:spacing w:before="80" w:after="120"/>
        <w:rPr>
          <w:rFonts w:ascii="Libre Franklin" w:hAnsi="Libre Franklin"/>
        </w:rPr>
      </w:pPr>
      <w:r w:rsidRPr="00541521">
        <w:rPr>
          <w:rFonts w:ascii="Libre Franklin" w:hAnsi="Libre Franklin"/>
          <w:i/>
          <w:sz w:val="21"/>
        </w:rPr>
        <w:t>Talking points for common leadership questions, concerns, and objections</w:t>
      </w:r>
    </w:p>
    <w:tbl>
      <w:tblPr>
        <w:tblW w:w="0" w:type="auto"/>
        <w:jc w:val="center"/>
        <w:tblLook w:val="04A0" w:firstRow="1" w:lastRow="0" w:firstColumn="1" w:lastColumn="0" w:noHBand="0" w:noVBand="1"/>
      </w:tblPr>
      <w:tblGrid>
        <w:gridCol w:w="10742"/>
      </w:tblGrid>
      <w:tr w:rsidR="00BD4303" w:rsidRPr="00541521" w14:paraId="35393E20" w14:textId="77777777" w:rsidTr="00541521">
        <w:trPr>
          <w:cantSplit/>
          <w:jc w:val="center"/>
        </w:trPr>
        <w:tc>
          <w:tcPr>
            <w:tcW w:w="10742" w:type="dxa"/>
            <w:shd w:val="clear" w:color="auto" w:fill="E8E8E8"/>
            <w:tcMar>
              <w:top w:w="90" w:type="dxa"/>
              <w:left w:w="130" w:type="dxa"/>
              <w:bottom w:w="90" w:type="dxa"/>
              <w:right w:w="130" w:type="dxa"/>
            </w:tcMar>
          </w:tcPr>
          <w:p w14:paraId="72EACFF7" w14:textId="3F98976A" w:rsidR="00BD4303" w:rsidRPr="00541521" w:rsidRDefault="002750F5">
            <w:pPr>
              <w:rPr>
                <w:rFonts w:ascii="Libre Franklin" w:hAnsi="Libre Franklin"/>
              </w:rPr>
            </w:pPr>
            <w:r w:rsidRPr="00541521">
              <w:rPr>
                <w:rFonts w:ascii="Libre Franklin" w:hAnsi="Libre Franklin"/>
                <w:b/>
                <w:color w:val="1A204B"/>
              </w:rPr>
              <w:t xml:space="preserve">HOW TO USE THIS GUIDE </w:t>
            </w:r>
            <w:r w:rsidRPr="00541521">
              <w:rPr>
                <w:rFonts w:ascii="Libre Franklin" w:hAnsi="Libre Franklin"/>
                <w:color w:val="1A204B"/>
              </w:rPr>
              <w:t xml:space="preserve">Use these talking points to help </w:t>
            </w:r>
            <w:r w:rsidR="00597393" w:rsidRPr="00541521">
              <w:rPr>
                <w:rFonts w:ascii="Libre Franklin" w:hAnsi="Libre Franklin"/>
                <w:color w:val="1A204B"/>
              </w:rPr>
              <w:t xml:space="preserve">new, incoming </w:t>
            </w:r>
            <w:r w:rsidRPr="00541521">
              <w:rPr>
                <w:rFonts w:ascii="Libre Franklin" w:hAnsi="Libre Franklin"/>
                <w:color w:val="1A204B"/>
              </w:rPr>
              <w:t xml:space="preserve">leaders quickly understand what the </w:t>
            </w:r>
            <w:r w:rsidR="0054226A" w:rsidRPr="00541521">
              <w:rPr>
                <w:rFonts w:ascii="Libre Franklin" w:hAnsi="Libre Franklin"/>
                <w:color w:val="1A204B"/>
              </w:rPr>
              <w:t>crime gun intelligence center (</w:t>
            </w:r>
            <w:r w:rsidRPr="00541521">
              <w:rPr>
                <w:rFonts w:ascii="Libre Franklin" w:hAnsi="Libre Franklin"/>
                <w:color w:val="1A204B"/>
              </w:rPr>
              <w:t>CGIC</w:t>
            </w:r>
            <w:r w:rsidR="0054226A" w:rsidRPr="00541521">
              <w:rPr>
                <w:rFonts w:ascii="Libre Franklin" w:hAnsi="Libre Franklin"/>
                <w:color w:val="1A204B"/>
              </w:rPr>
              <w:t>)</w:t>
            </w:r>
            <w:r w:rsidRPr="00541521">
              <w:rPr>
                <w:rFonts w:ascii="Libre Franklin" w:hAnsi="Libre Franklin"/>
                <w:color w:val="1A204B"/>
              </w:rPr>
              <w:t xml:space="preserve"> does, why it matters, and what organizational support is necessary to sustain it.</w:t>
            </w:r>
          </w:p>
        </w:tc>
      </w:tr>
    </w:tbl>
    <w:p w14:paraId="70113427" w14:textId="345FC842" w:rsidR="00BD4303" w:rsidRPr="00541521" w:rsidRDefault="002750F5">
      <w:pPr>
        <w:spacing w:before="160" w:after="60"/>
        <w:rPr>
          <w:rFonts w:ascii="Roboto" w:hAnsi="Roboto"/>
          <w:color w:val="1A204B"/>
        </w:rPr>
      </w:pPr>
      <w:r w:rsidRPr="00541521">
        <w:rPr>
          <w:rFonts w:ascii="Roboto" w:hAnsi="Roboto"/>
          <w:b/>
          <w:color w:val="1A204B"/>
          <w:sz w:val="27"/>
        </w:rPr>
        <w:t>1. VALUE &amp; PURPOSE</w:t>
      </w:r>
      <w:r w:rsidRPr="00DA3856">
        <w:rPr>
          <w:rFonts w:ascii="Roboto" w:hAnsi="Roboto"/>
          <w:color w:val="1A204B"/>
          <w:sz w:val="21"/>
          <w:szCs w:val="28"/>
        </w:rPr>
        <w:t xml:space="preserve"> | Why this capability matters</w:t>
      </w:r>
    </w:p>
    <w:tbl>
      <w:tblPr>
        <w:tblW w:w="11290" w:type="dxa"/>
        <w:jc w:val="center"/>
        <w:tblLayout w:type="fixed"/>
        <w:tblLook w:val="04A0" w:firstRow="1" w:lastRow="0" w:firstColumn="1" w:lastColumn="0" w:noHBand="0" w:noVBand="1"/>
      </w:tblPr>
      <w:tblGrid>
        <w:gridCol w:w="317"/>
        <w:gridCol w:w="10973"/>
      </w:tblGrid>
      <w:tr w:rsidR="00BD4303" w:rsidRPr="00541521" w14:paraId="3F0B08C9" w14:textId="77777777" w:rsidTr="00541521">
        <w:trPr>
          <w:cantSplit/>
          <w:jc w:val="center"/>
        </w:trPr>
        <w:tc>
          <w:tcPr>
            <w:tcW w:w="317" w:type="dxa"/>
            <w:shd w:val="clear" w:color="auto" w:fill="1A204B"/>
            <w:tcMar>
              <w:top w:w="65" w:type="dxa"/>
              <w:left w:w="15" w:type="dxa"/>
              <w:bottom w:w="65" w:type="dxa"/>
              <w:right w:w="15" w:type="dxa"/>
            </w:tcMar>
            <w:vAlign w:val="center"/>
          </w:tcPr>
          <w:p w14:paraId="56216472" w14:textId="77777777" w:rsidR="00BD4303" w:rsidRPr="00541521" w:rsidRDefault="002750F5">
            <w:pPr>
              <w:jc w:val="center"/>
              <w:rPr>
                <w:rFonts w:ascii="Libre Franklin" w:hAnsi="Libre Franklin"/>
                <w:color w:val="EABE3F"/>
              </w:rPr>
            </w:pPr>
            <w:r w:rsidRPr="00DA3856">
              <w:rPr>
                <w:rFonts w:ascii="Libre Franklin" w:hAnsi="Libre Franklin"/>
                <w:b/>
                <w:color w:val="E8E8E8"/>
                <w:sz w:val="17"/>
              </w:rPr>
              <w:t>1</w:t>
            </w:r>
          </w:p>
        </w:tc>
        <w:tc>
          <w:tcPr>
            <w:tcW w:w="10973" w:type="dxa"/>
            <w:shd w:val="clear" w:color="auto" w:fill="1A204B"/>
            <w:tcMar>
              <w:top w:w="80" w:type="dxa"/>
              <w:left w:w="90" w:type="dxa"/>
              <w:bottom w:w="80" w:type="dxa"/>
              <w:right w:w="90" w:type="dxa"/>
            </w:tcMar>
          </w:tcPr>
          <w:p w14:paraId="5A1742A7" w14:textId="6D400136" w:rsidR="00BD4303" w:rsidRPr="00541521" w:rsidRDefault="002750F5">
            <w:pPr>
              <w:spacing w:after="40"/>
              <w:rPr>
                <w:rFonts w:ascii="Libre Franklin" w:hAnsi="Libre Franklin"/>
                <w:color w:val="E8E8E8"/>
              </w:rPr>
            </w:pPr>
            <w:r w:rsidRPr="00541521">
              <w:rPr>
                <w:rFonts w:ascii="Libre Franklin" w:hAnsi="Libre Franklin"/>
                <w:b/>
                <w:color w:val="E8E8E8"/>
                <w:sz w:val="19"/>
              </w:rPr>
              <w:t xml:space="preserve">“Why do we need a CGIC? Isn’t </w:t>
            </w:r>
            <w:r w:rsidR="0054226A" w:rsidRPr="00541521">
              <w:rPr>
                <w:rFonts w:ascii="Libre Franklin" w:hAnsi="Libre Franklin"/>
                <w:b/>
                <w:color w:val="E8E8E8"/>
                <w:sz w:val="19"/>
              </w:rPr>
              <w:t>the National Integrated Ballistics Information Network (</w:t>
            </w:r>
            <w:r w:rsidRPr="00541521">
              <w:rPr>
                <w:rFonts w:ascii="Libre Franklin" w:hAnsi="Libre Franklin"/>
                <w:b/>
                <w:color w:val="E8E8E8"/>
                <w:sz w:val="19"/>
              </w:rPr>
              <w:t>NIBIN</w:t>
            </w:r>
            <w:r w:rsidR="0054226A" w:rsidRPr="00541521">
              <w:rPr>
                <w:rFonts w:ascii="Libre Franklin" w:hAnsi="Libre Franklin"/>
                <w:b/>
                <w:color w:val="E8E8E8"/>
                <w:sz w:val="19"/>
              </w:rPr>
              <w:t>)</w:t>
            </w:r>
            <w:r w:rsidRPr="00541521">
              <w:rPr>
                <w:rFonts w:ascii="Libre Franklin" w:hAnsi="Libre Franklin"/>
                <w:b/>
                <w:color w:val="E8E8E8"/>
                <w:sz w:val="19"/>
              </w:rPr>
              <w:t xml:space="preserve"> just a database?”</w:t>
            </w:r>
          </w:p>
          <w:p w14:paraId="4964E752" w14:textId="77777777" w:rsidR="00BD4303" w:rsidRPr="00541521" w:rsidRDefault="002750F5">
            <w:pPr>
              <w:spacing w:after="0"/>
              <w:rPr>
                <w:rFonts w:ascii="Libre Franklin" w:hAnsi="Libre Franklin"/>
                <w:color w:val="EABE3F"/>
              </w:rPr>
            </w:pPr>
            <w:r w:rsidRPr="00541521">
              <w:rPr>
                <w:rFonts w:ascii="Libre Franklin" w:hAnsi="Libre Franklin"/>
                <w:color w:val="EABE3F"/>
                <w:sz w:val="17"/>
              </w:rPr>
              <w:t>NIBIN is the technology that identifies potential ballistic associations; a CGIC is the coordinated capability that turns those associations into timely investigative intelligence. The value comes from connecting evidence processing, NIBIN, analysis, investigations, prosecution, and partner agencies so information is acted on rather than simply generated.</w:t>
            </w:r>
          </w:p>
        </w:tc>
      </w:tr>
    </w:tbl>
    <w:p w14:paraId="255CD240" w14:textId="77777777" w:rsidR="00BD4303" w:rsidRPr="00541521" w:rsidRDefault="00BD4303">
      <w:pPr>
        <w:spacing w:after="20"/>
        <w:rPr>
          <w:rFonts w:ascii="Libre Franklin" w:hAnsi="Libre Franklin"/>
        </w:rPr>
      </w:pPr>
    </w:p>
    <w:tbl>
      <w:tblPr>
        <w:tblW w:w="0" w:type="auto"/>
        <w:jc w:val="center"/>
        <w:tblLayout w:type="fixed"/>
        <w:tblLook w:val="04A0" w:firstRow="1" w:lastRow="0" w:firstColumn="1" w:lastColumn="0" w:noHBand="0" w:noVBand="1"/>
      </w:tblPr>
      <w:tblGrid>
        <w:gridCol w:w="317"/>
        <w:gridCol w:w="10973"/>
      </w:tblGrid>
      <w:tr w:rsidR="00BD4303" w:rsidRPr="00541521" w14:paraId="1C9C595B" w14:textId="77777777" w:rsidTr="00541521">
        <w:trPr>
          <w:cantSplit/>
          <w:jc w:val="center"/>
        </w:trPr>
        <w:tc>
          <w:tcPr>
            <w:tcW w:w="317" w:type="dxa"/>
            <w:shd w:val="clear" w:color="auto" w:fill="1A204B"/>
            <w:tcMar>
              <w:top w:w="65" w:type="dxa"/>
              <w:left w:w="15" w:type="dxa"/>
              <w:bottom w:w="65" w:type="dxa"/>
              <w:right w:w="15" w:type="dxa"/>
            </w:tcMar>
            <w:vAlign w:val="center"/>
          </w:tcPr>
          <w:p w14:paraId="74FAA2CF" w14:textId="77777777" w:rsidR="00BD4303" w:rsidRPr="00541521" w:rsidRDefault="002750F5">
            <w:pPr>
              <w:jc w:val="center"/>
              <w:rPr>
                <w:rFonts w:ascii="Libre Franklin" w:hAnsi="Libre Franklin"/>
                <w:color w:val="1A204B"/>
              </w:rPr>
            </w:pPr>
            <w:r w:rsidRPr="00DA3856">
              <w:rPr>
                <w:rFonts w:ascii="Libre Franklin" w:hAnsi="Libre Franklin"/>
                <w:b/>
                <w:color w:val="E8E8E8"/>
                <w:sz w:val="17"/>
              </w:rPr>
              <w:t>2</w:t>
            </w:r>
          </w:p>
        </w:tc>
        <w:tc>
          <w:tcPr>
            <w:tcW w:w="10973" w:type="dxa"/>
            <w:shd w:val="clear" w:color="auto" w:fill="1A204B"/>
            <w:tcMar>
              <w:top w:w="80" w:type="dxa"/>
              <w:left w:w="90" w:type="dxa"/>
              <w:bottom w:w="80" w:type="dxa"/>
              <w:right w:w="90" w:type="dxa"/>
            </w:tcMar>
          </w:tcPr>
          <w:p w14:paraId="4E44DCEE" w14:textId="77777777" w:rsidR="00BD4303" w:rsidRPr="00541521" w:rsidRDefault="002750F5">
            <w:pPr>
              <w:spacing w:after="40"/>
              <w:rPr>
                <w:rFonts w:ascii="Libre Franklin" w:hAnsi="Libre Franklin"/>
                <w:color w:val="E8E8E8"/>
              </w:rPr>
            </w:pPr>
            <w:r w:rsidRPr="00541521">
              <w:rPr>
                <w:rFonts w:ascii="Libre Franklin" w:hAnsi="Libre Franklin"/>
                <w:b/>
                <w:color w:val="E8E8E8"/>
                <w:sz w:val="19"/>
              </w:rPr>
              <w:t>“What does this actually do for our investigators?”</w:t>
            </w:r>
          </w:p>
          <w:p w14:paraId="42DC685C" w14:textId="77777777" w:rsidR="00BD4303" w:rsidRPr="00541521" w:rsidRDefault="002750F5">
            <w:pPr>
              <w:spacing w:after="0"/>
              <w:rPr>
                <w:rFonts w:ascii="Libre Franklin" w:hAnsi="Libre Franklin"/>
                <w:color w:val="1A204B"/>
              </w:rPr>
            </w:pPr>
            <w:r w:rsidRPr="00541521">
              <w:rPr>
                <w:rFonts w:ascii="Libre Franklin" w:hAnsi="Libre Franklin"/>
                <w:color w:val="EABE3F"/>
                <w:sz w:val="17"/>
              </w:rPr>
              <w:t>A NIBIN lead can reveal connections between shootings, recovered firearms, suspects, and investigations that may not otherwise be apparent. When the information is delivered quickly and paired with analysis and follow-up, it can provide new investigative direction, connect cases across units or jurisdictions, and help focus resources on individuals and firearms associated with violence.</w:t>
            </w:r>
          </w:p>
        </w:tc>
      </w:tr>
    </w:tbl>
    <w:p w14:paraId="351CB9EC" w14:textId="77777777" w:rsidR="00BD4303" w:rsidRPr="00541521" w:rsidRDefault="00BD4303">
      <w:pPr>
        <w:spacing w:after="20"/>
        <w:rPr>
          <w:rFonts w:ascii="Libre Franklin" w:hAnsi="Libre Franklin"/>
        </w:rPr>
      </w:pPr>
    </w:p>
    <w:tbl>
      <w:tblPr>
        <w:tblW w:w="0" w:type="auto"/>
        <w:jc w:val="center"/>
        <w:tblLayout w:type="fixed"/>
        <w:tblLook w:val="04A0" w:firstRow="1" w:lastRow="0" w:firstColumn="1" w:lastColumn="0" w:noHBand="0" w:noVBand="1"/>
      </w:tblPr>
      <w:tblGrid>
        <w:gridCol w:w="317"/>
        <w:gridCol w:w="10973"/>
      </w:tblGrid>
      <w:tr w:rsidR="00BD4303" w:rsidRPr="00541521" w14:paraId="0C01FF65" w14:textId="77777777" w:rsidTr="00541521">
        <w:trPr>
          <w:cantSplit/>
          <w:jc w:val="center"/>
        </w:trPr>
        <w:tc>
          <w:tcPr>
            <w:tcW w:w="317" w:type="dxa"/>
            <w:shd w:val="clear" w:color="auto" w:fill="1A204B"/>
            <w:tcMar>
              <w:top w:w="65" w:type="dxa"/>
              <w:left w:w="15" w:type="dxa"/>
              <w:bottom w:w="65" w:type="dxa"/>
              <w:right w:w="15" w:type="dxa"/>
            </w:tcMar>
            <w:vAlign w:val="center"/>
          </w:tcPr>
          <w:p w14:paraId="2A155F9D" w14:textId="77777777" w:rsidR="00BD4303" w:rsidRPr="00541521" w:rsidRDefault="002750F5">
            <w:pPr>
              <w:jc w:val="center"/>
              <w:rPr>
                <w:rFonts w:ascii="Libre Franklin" w:hAnsi="Libre Franklin"/>
                <w:color w:val="EABE3F"/>
              </w:rPr>
            </w:pPr>
            <w:r w:rsidRPr="00DA3856">
              <w:rPr>
                <w:rFonts w:ascii="Libre Franklin" w:hAnsi="Libre Franklin"/>
                <w:b/>
                <w:color w:val="E8E8E8"/>
                <w:sz w:val="17"/>
              </w:rPr>
              <w:t>3</w:t>
            </w:r>
          </w:p>
        </w:tc>
        <w:tc>
          <w:tcPr>
            <w:tcW w:w="10973" w:type="dxa"/>
            <w:shd w:val="clear" w:color="auto" w:fill="1A204B"/>
            <w:tcMar>
              <w:top w:w="80" w:type="dxa"/>
              <w:left w:w="90" w:type="dxa"/>
              <w:bottom w:w="80" w:type="dxa"/>
              <w:right w:w="90" w:type="dxa"/>
            </w:tcMar>
          </w:tcPr>
          <w:p w14:paraId="1101CB73" w14:textId="77777777" w:rsidR="00BD4303" w:rsidRPr="00541521" w:rsidRDefault="002750F5">
            <w:pPr>
              <w:spacing w:after="40"/>
              <w:rPr>
                <w:rFonts w:ascii="Libre Franklin" w:hAnsi="Libre Franklin"/>
                <w:color w:val="E8E8E8"/>
              </w:rPr>
            </w:pPr>
            <w:r w:rsidRPr="00541521">
              <w:rPr>
                <w:rFonts w:ascii="Libre Franklin" w:hAnsi="Libre Franklin"/>
                <w:b/>
                <w:color w:val="E8E8E8"/>
                <w:sz w:val="19"/>
              </w:rPr>
              <w:t>“Does a NIBIN lead prove the same gun was used?”</w:t>
            </w:r>
          </w:p>
          <w:p w14:paraId="0CE6C436" w14:textId="77777777" w:rsidR="00BD4303" w:rsidRPr="00541521" w:rsidRDefault="002750F5">
            <w:pPr>
              <w:spacing w:after="0"/>
              <w:rPr>
                <w:rFonts w:ascii="Libre Franklin" w:hAnsi="Libre Franklin"/>
                <w:color w:val="EABE3F"/>
              </w:rPr>
            </w:pPr>
            <w:r w:rsidRPr="00541521">
              <w:rPr>
                <w:rFonts w:ascii="Libre Franklin" w:hAnsi="Libre Franklin"/>
                <w:color w:val="EABE3F"/>
                <w:sz w:val="17"/>
              </w:rPr>
              <w:t>No. A NIBIN lead is investigative intelligence identifying a potential association between ballistic evidence. When a forensic conclusion is required, the physical evidence must be examined by a qualified firearms examiner. Leaders should understand this distinction while recognizing that a timely lead can still be highly valuable for investigative purposes.</w:t>
            </w:r>
          </w:p>
        </w:tc>
      </w:tr>
    </w:tbl>
    <w:p w14:paraId="43AF8CE0" w14:textId="77777777" w:rsidR="00BD4303" w:rsidRPr="00541521" w:rsidRDefault="00BD4303">
      <w:pPr>
        <w:spacing w:after="20"/>
        <w:rPr>
          <w:rFonts w:ascii="Libre Franklin" w:hAnsi="Libre Franklin"/>
        </w:rPr>
      </w:pPr>
    </w:p>
    <w:p w14:paraId="40BC3648" w14:textId="346D6125" w:rsidR="00BD4303" w:rsidRPr="00541521" w:rsidRDefault="002750F5">
      <w:pPr>
        <w:spacing w:before="160" w:after="60"/>
        <w:rPr>
          <w:rFonts w:ascii="Roboto" w:hAnsi="Roboto"/>
          <w:color w:val="1A204B"/>
        </w:rPr>
      </w:pPr>
      <w:r w:rsidRPr="00541521">
        <w:rPr>
          <w:rFonts w:ascii="Roboto" w:hAnsi="Roboto"/>
          <w:b/>
          <w:color w:val="1A204B"/>
          <w:sz w:val="27"/>
        </w:rPr>
        <w:t>2. OPERATIONS &amp; RESOURCES</w:t>
      </w:r>
      <w:r w:rsidRPr="00DA3856">
        <w:rPr>
          <w:rFonts w:ascii="Roboto" w:hAnsi="Roboto"/>
          <w:color w:val="1A204B"/>
          <w:sz w:val="21"/>
          <w:szCs w:val="28"/>
        </w:rPr>
        <w:t xml:space="preserve"> | What the program needs to work</w:t>
      </w:r>
    </w:p>
    <w:tbl>
      <w:tblPr>
        <w:tblW w:w="11290" w:type="dxa"/>
        <w:jc w:val="center"/>
        <w:tblLayout w:type="fixed"/>
        <w:tblLook w:val="04A0" w:firstRow="1" w:lastRow="0" w:firstColumn="1" w:lastColumn="0" w:noHBand="0" w:noVBand="1"/>
      </w:tblPr>
      <w:tblGrid>
        <w:gridCol w:w="317"/>
        <w:gridCol w:w="10973"/>
      </w:tblGrid>
      <w:tr w:rsidR="00BD4303" w:rsidRPr="00541521" w14:paraId="235409B6" w14:textId="77777777" w:rsidTr="00541521">
        <w:trPr>
          <w:cantSplit/>
          <w:jc w:val="center"/>
        </w:trPr>
        <w:tc>
          <w:tcPr>
            <w:tcW w:w="317" w:type="dxa"/>
            <w:shd w:val="clear" w:color="auto" w:fill="5F2342"/>
            <w:tcMar>
              <w:top w:w="65" w:type="dxa"/>
              <w:left w:w="15" w:type="dxa"/>
              <w:bottom w:w="65" w:type="dxa"/>
              <w:right w:w="15" w:type="dxa"/>
            </w:tcMar>
            <w:vAlign w:val="center"/>
          </w:tcPr>
          <w:p w14:paraId="0E73C9DA" w14:textId="77777777" w:rsidR="00BD4303" w:rsidRPr="00541521" w:rsidRDefault="002750F5">
            <w:pPr>
              <w:jc w:val="center"/>
              <w:rPr>
                <w:rFonts w:ascii="Libre Franklin" w:hAnsi="Libre Franklin"/>
                <w:color w:val="EABE3F"/>
              </w:rPr>
            </w:pPr>
            <w:r w:rsidRPr="00541521">
              <w:rPr>
                <w:rFonts w:ascii="Libre Franklin" w:hAnsi="Libre Franklin"/>
                <w:b/>
                <w:color w:val="EABE3F"/>
                <w:sz w:val="17"/>
              </w:rPr>
              <w:t>4</w:t>
            </w:r>
          </w:p>
        </w:tc>
        <w:tc>
          <w:tcPr>
            <w:tcW w:w="10973" w:type="dxa"/>
            <w:shd w:val="clear" w:color="auto" w:fill="5F2342"/>
            <w:tcMar>
              <w:top w:w="80" w:type="dxa"/>
              <w:left w:w="90" w:type="dxa"/>
              <w:bottom w:w="80" w:type="dxa"/>
              <w:right w:w="90" w:type="dxa"/>
            </w:tcMar>
          </w:tcPr>
          <w:p w14:paraId="0B137236" w14:textId="77777777" w:rsidR="00BD4303" w:rsidRPr="00541521" w:rsidRDefault="002750F5">
            <w:pPr>
              <w:spacing w:after="40"/>
              <w:rPr>
                <w:rFonts w:ascii="Libre Franklin" w:hAnsi="Libre Franklin"/>
                <w:color w:val="EABE3F"/>
              </w:rPr>
            </w:pPr>
            <w:r w:rsidRPr="00541521">
              <w:rPr>
                <w:rFonts w:ascii="Libre Franklin" w:hAnsi="Libre Franklin"/>
                <w:b/>
                <w:color w:val="EABE3F"/>
                <w:sz w:val="19"/>
              </w:rPr>
              <w:t>“Why does speed matter so much?”</w:t>
            </w:r>
          </w:p>
          <w:p w14:paraId="04113612" w14:textId="0948277A" w:rsidR="00BD4303" w:rsidRPr="00541521" w:rsidRDefault="002750F5">
            <w:pPr>
              <w:spacing w:after="0"/>
              <w:rPr>
                <w:rFonts w:ascii="Libre Franklin" w:hAnsi="Libre Franklin"/>
                <w:color w:val="EABE3F"/>
              </w:rPr>
            </w:pPr>
            <w:r w:rsidRPr="00541521">
              <w:rPr>
                <w:rFonts w:ascii="Libre Franklin" w:hAnsi="Libre Franklin"/>
                <w:color w:val="E8E8E8"/>
                <w:sz w:val="17"/>
              </w:rPr>
              <w:t xml:space="preserve">Crime gun intelligence is most useful while an investigation is </w:t>
            </w:r>
            <w:r w:rsidR="000F4C3F" w:rsidRPr="00541521">
              <w:rPr>
                <w:rFonts w:ascii="Libre Franklin" w:hAnsi="Libre Franklin"/>
                <w:color w:val="E8E8E8"/>
                <w:sz w:val="17"/>
              </w:rPr>
              <w:t>active,</w:t>
            </w:r>
            <w:r w:rsidRPr="00541521">
              <w:rPr>
                <w:rFonts w:ascii="Libre Franklin" w:hAnsi="Libre Franklin"/>
                <w:color w:val="E8E8E8"/>
                <w:sz w:val="17"/>
              </w:rPr>
              <w:t xml:space="preserve"> and information can still influence decisions. Delays between evidence collection, NIBIN entry, lead dissemination, and follow-up can reduce that value. Sustainable programs establish workflows and accountability that move eligible evidence and resulting intelligence through the process as quickly as practical.</w:t>
            </w:r>
          </w:p>
        </w:tc>
      </w:tr>
    </w:tbl>
    <w:p w14:paraId="6A05554B" w14:textId="77777777" w:rsidR="00BD4303" w:rsidRPr="00541521" w:rsidRDefault="00BD4303">
      <w:pPr>
        <w:spacing w:after="20"/>
        <w:rPr>
          <w:rFonts w:ascii="Libre Franklin" w:hAnsi="Libre Franklin"/>
        </w:rPr>
      </w:pPr>
    </w:p>
    <w:tbl>
      <w:tblPr>
        <w:tblW w:w="0" w:type="auto"/>
        <w:jc w:val="center"/>
        <w:tblLayout w:type="fixed"/>
        <w:tblLook w:val="04A0" w:firstRow="1" w:lastRow="0" w:firstColumn="1" w:lastColumn="0" w:noHBand="0" w:noVBand="1"/>
      </w:tblPr>
      <w:tblGrid>
        <w:gridCol w:w="317"/>
        <w:gridCol w:w="10973"/>
      </w:tblGrid>
      <w:tr w:rsidR="00BD4303" w:rsidRPr="00541521" w14:paraId="022A799A" w14:textId="77777777" w:rsidTr="00541521">
        <w:trPr>
          <w:cantSplit/>
          <w:jc w:val="center"/>
        </w:trPr>
        <w:tc>
          <w:tcPr>
            <w:tcW w:w="317" w:type="dxa"/>
            <w:shd w:val="clear" w:color="auto" w:fill="5F2342"/>
            <w:tcMar>
              <w:top w:w="65" w:type="dxa"/>
              <w:left w:w="15" w:type="dxa"/>
              <w:bottom w:w="65" w:type="dxa"/>
              <w:right w:w="15" w:type="dxa"/>
            </w:tcMar>
            <w:vAlign w:val="center"/>
          </w:tcPr>
          <w:p w14:paraId="69A617B4" w14:textId="77777777" w:rsidR="00BD4303" w:rsidRPr="00541521" w:rsidRDefault="002750F5">
            <w:pPr>
              <w:jc w:val="center"/>
              <w:rPr>
                <w:rFonts w:ascii="Libre Franklin" w:hAnsi="Libre Franklin"/>
                <w:color w:val="EABE3F"/>
              </w:rPr>
            </w:pPr>
            <w:r w:rsidRPr="00541521">
              <w:rPr>
                <w:rFonts w:ascii="Libre Franklin" w:hAnsi="Libre Franklin"/>
                <w:b/>
                <w:color w:val="EABE3F"/>
                <w:sz w:val="17"/>
              </w:rPr>
              <w:t>5</w:t>
            </w:r>
          </w:p>
        </w:tc>
        <w:tc>
          <w:tcPr>
            <w:tcW w:w="10973" w:type="dxa"/>
            <w:shd w:val="clear" w:color="auto" w:fill="5F2342"/>
            <w:tcMar>
              <w:top w:w="80" w:type="dxa"/>
              <w:left w:w="90" w:type="dxa"/>
              <w:bottom w:w="80" w:type="dxa"/>
              <w:right w:w="90" w:type="dxa"/>
            </w:tcMar>
          </w:tcPr>
          <w:p w14:paraId="23E83F17" w14:textId="77777777" w:rsidR="00BD4303" w:rsidRPr="00541521" w:rsidRDefault="002750F5">
            <w:pPr>
              <w:spacing w:after="40"/>
              <w:rPr>
                <w:rFonts w:ascii="Libre Franklin" w:hAnsi="Libre Franklin"/>
                <w:color w:val="EABE3F"/>
              </w:rPr>
            </w:pPr>
            <w:r w:rsidRPr="00541521">
              <w:rPr>
                <w:rFonts w:ascii="Libre Franklin" w:hAnsi="Libre Franklin"/>
                <w:b/>
                <w:color w:val="EABE3F"/>
                <w:sz w:val="19"/>
              </w:rPr>
              <w:t>“Can’t our existing personnel just absorb this work?”</w:t>
            </w:r>
          </w:p>
          <w:p w14:paraId="1FC92202" w14:textId="38A134F1" w:rsidR="00BD4303" w:rsidRPr="00541521" w:rsidRDefault="002750F5">
            <w:pPr>
              <w:spacing w:after="0"/>
              <w:rPr>
                <w:rFonts w:ascii="Libre Franklin" w:hAnsi="Libre Franklin"/>
                <w:color w:val="EABE3F"/>
              </w:rPr>
            </w:pPr>
            <w:r w:rsidRPr="00541521">
              <w:rPr>
                <w:rFonts w:ascii="Libre Franklin" w:hAnsi="Libre Franklin"/>
                <w:color w:val="E8E8E8"/>
                <w:sz w:val="17"/>
              </w:rPr>
              <w:t xml:space="preserve">Sometimes functions can be incorporated into existing assignments, but the workload still </w:t>
            </w:r>
            <w:r w:rsidR="00B8054E" w:rsidRPr="00541521">
              <w:rPr>
                <w:rFonts w:ascii="Libre Franklin" w:hAnsi="Libre Franklin"/>
                <w:color w:val="E8E8E8"/>
                <w:sz w:val="17"/>
              </w:rPr>
              <w:t>must</w:t>
            </w:r>
            <w:r w:rsidRPr="00541521">
              <w:rPr>
                <w:rFonts w:ascii="Libre Franklin" w:hAnsi="Libre Franklin"/>
                <w:color w:val="E8E8E8"/>
                <w:sz w:val="17"/>
              </w:rPr>
              <w:t xml:space="preserve"> be recognized, assigned, trained, and monitored. A CGIC depends on multiple functions - evidence collection, processing, NIBIN, analysis, lead management, investigation, and coordination. If responsibilities are added without sufficient capacity or clear ownership, timelines and follow-up are often the first things to suffer.</w:t>
            </w:r>
          </w:p>
        </w:tc>
      </w:tr>
    </w:tbl>
    <w:p w14:paraId="3287B860" w14:textId="77777777" w:rsidR="00BD4303" w:rsidRPr="00541521" w:rsidRDefault="00BD4303">
      <w:pPr>
        <w:spacing w:after="20"/>
        <w:rPr>
          <w:rFonts w:ascii="Libre Franklin" w:hAnsi="Libre Franklin"/>
        </w:rPr>
      </w:pPr>
    </w:p>
    <w:tbl>
      <w:tblPr>
        <w:tblW w:w="0" w:type="auto"/>
        <w:jc w:val="center"/>
        <w:tblLayout w:type="fixed"/>
        <w:tblLook w:val="04A0" w:firstRow="1" w:lastRow="0" w:firstColumn="1" w:lastColumn="0" w:noHBand="0" w:noVBand="1"/>
      </w:tblPr>
      <w:tblGrid>
        <w:gridCol w:w="317"/>
        <w:gridCol w:w="10973"/>
      </w:tblGrid>
      <w:tr w:rsidR="00BD4303" w:rsidRPr="00541521" w14:paraId="39F82561" w14:textId="77777777" w:rsidTr="00541521">
        <w:trPr>
          <w:cantSplit/>
          <w:jc w:val="center"/>
        </w:trPr>
        <w:tc>
          <w:tcPr>
            <w:tcW w:w="317" w:type="dxa"/>
            <w:shd w:val="clear" w:color="auto" w:fill="5F2342"/>
            <w:tcMar>
              <w:top w:w="65" w:type="dxa"/>
              <w:left w:w="15" w:type="dxa"/>
              <w:bottom w:w="65" w:type="dxa"/>
              <w:right w:w="15" w:type="dxa"/>
            </w:tcMar>
            <w:vAlign w:val="center"/>
          </w:tcPr>
          <w:p w14:paraId="1BB913E5" w14:textId="77777777" w:rsidR="00BD4303" w:rsidRPr="00541521" w:rsidRDefault="002750F5">
            <w:pPr>
              <w:jc w:val="center"/>
              <w:rPr>
                <w:rFonts w:ascii="Libre Franklin" w:hAnsi="Libre Franklin"/>
                <w:color w:val="EABE3F"/>
              </w:rPr>
            </w:pPr>
            <w:r w:rsidRPr="00541521">
              <w:rPr>
                <w:rFonts w:ascii="Libre Franklin" w:hAnsi="Libre Franklin"/>
                <w:b/>
                <w:color w:val="EABE3F"/>
                <w:sz w:val="17"/>
              </w:rPr>
              <w:t>6</w:t>
            </w:r>
          </w:p>
        </w:tc>
        <w:tc>
          <w:tcPr>
            <w:tcW w:w="10973" w:type="dxa"/>
            <w:shd w:val="clear" w:color="auto" w:fill="5F2342"/>
            <w:tcMar>
              <w:top w:w="80" w:type="dxa"/>
              <w:left w:w="90" w:type="dxa"/>
              <w:bottom w:w="80" w:type="dxa"/>
              <w:right w:w="90" w:type="dxa"/>
            </w:tcMar>
          </w:tcPr>
          <w:p w14:paraId="263CFA94" w14:textId="77777777" w:rsidR="00BD4303" w:rsidRPr="00541521" w:rsidRDefault="002750F5">
            <w:pPr>
              <w:spacing w:after="40"/>
              <w:rPr>
                <w:rFonts w:ascii="Libre Franklin" w:hAnsi="Libre Franklin"/>
                <w:color w:val="EABE3F"/>
              </w:rPr>
            </w:pPr>
            <w:r w:rsidRPr="00541521">
              <w:rPr>
                <w:rFonts w:ascii="Libre Franklin" w:hAnsi="Libre Franklin"/>
                <w:b/>
                <w:color w:val="EABE3F"/>
                <w:sz w:val="19"/>
              </w:rPr>
              <w:t>“Why do we need ongoing funding if the equipment is already here?”</w:t>
            </w:r>
          </w:p>
          <w:p w14:paraId="0C65D710" w14:textId="77777777" w:rsidR="00BD4303" w:rsidRPr="00541521" w:rsidRDefault="002750F5">
            <w:pPr>
              <w:spacing w:after="0"/>
              <w:rPr>
                <w:rFonts w:ascii="Libre Franklin" w:hAnsi="Libre Franklin"/>
                <w:color w:val="EABE3F"/>
              </w:rPr>
            </w:pPr>
            <w:r w:rsidRPr="00541521">
              <w:rPr>
                <w:rFonts w:ascii="Libre Franklin" w:hAnsi="Libre Franklin"/>
                <w:color w:val="E8E8E8"/>
                <w:sz w:val="17"/>
              </w:rPr>
              <w:t>Equipment acquisition is only one part of the cost. Sustainable operations may require staffing, training, maintenance, software or support agreements, technology replacement, and other recurring resources. Leadership should know both the current operating requirements and the future lifecycle costs before they become urgent.</w:t>
            </w:r>
          </w:p>
        </w:tc>
      </w:tr>
    </w:tbl>
    <w:p w14:paraId="7FBEC649" w14:textId="77777777" w:rsidR="00BD4303" w:rsidRPr="00541521" w:rsidRDefault="00BD4303">
      <w:pPr>
        <w:spacing w:after="20"/>
        <w:rPr>
          <w:rFonts w:ascii="Libre Franklin" w:hAnsi="Libre Franklin"/>
        </w:rPr>
      </w:pPr>
    </w:p>
    <w:p w14:paraId="4E7F95F0" w14:textId="77777777" w:rsidR="00597393" w:rsidRPr="00541521" w:rsidRDefault="00597393">
      <w:pPr>
        <w:spacing w:before="160" w:after="60"/>
        <w:rPr>
          <w:rFonts w:ascii="Libre Franklin" w:hAnsi="Libre Franklin"/>
          <w:b/>
          <w:color w:val="C69A3B"/>
          <w:sz w:val="27"/>
        </w:rPr>
      </w:pPr>
    </w:p>
    <w:p w14:paraId="54C9ECBC" w14:textId="6334A62D" w:rsidR="00BD4303" w:rsidRPr="00541521" w:rsidRDefault="002750F5">
      <w:pPr>
        <w:spacing w:before="160" w:after="60"/>
        <w:rPr>
          <w:rFonts w:ascii="Roboto" w:hAnsi="Roboto"/>
          <w:color w:val="1A204B"/>
        </w:rPr>
      </w:pPr>
      <w:r w:rsidRPr="00541521">
        <w:rPr>
          <w:rFonts w:ascii="Roboto" w:hAnsi="Roboto"/>
          <w:b/>
          <w:color w:val="1A204B"/>
          <w:sz w:val="27"/>
        </w:rPr>
        <w:lastRenderedPageBreak/>
        <w:t xml:space="preserve">3. LEADERSHIP &amp; </w:t>
      </w:r>
      <w:r w:rsidR="00541521" w:rsidRPr="00541521">
        <w:rPr>
          <w:rFonts w:ascii="Roboto" w:hAnsi="Roboto"/>
          <w:b/>
          <w:color w:val="1A204B"/>
          <w:sz w:val="27"/>
        </w:rPr>
        <w:t>SUSTAINABILITY</w:t>
      </w:r>
      <w:r w:rsidR="00541521" w:rsidRPr="00DA3856">
        <w:rPr>
          <w:rFonts w:ascii="Roboto" w:hAnsi="Roboto"/>
          <w:color w:val="1A204B"/>
          <w:sz w:val="21"/>
          <w:szCs w:val="28"/>
        </w:rPr>
        <w:t xml:space="preserve"> |</w:t>
      </w:r>
      <w:r w:rsidRPr="00DA3856">
        <w:rPr>
          <w:rFonts w:ascii="Roboto" w:hAnsi="Roboto"/>
          <w:color w:val="1A204B"/>
          <w:sz w:val="21"/>
          <w:szCs w:val="28"/>
        </w:rPr>
        <w:t xml:space="preserve"> What executives need to protect</w:t>
      </w:r>
    </w:p>
    <w:tbl>
      <w:tblPr>
        <w:tblW w:w="11290" w:type="dxa"/>
        <w:jc w:val="center"/>
        <w:tblLayout w:type="fixed"/>
        <w:tblLook w:val="04A0" w:firstRow="1" w:lastRow="0" w:firstColumn="1" w:lastColumn="0" w:noHBand="0" w:noVBand="1"/>
      </w:tblPr>
      <w:tblGrid>
        <w:gridCol w:w="317"/>
        <w:gridCol w:w="10973"/>
      </w:tblGrid>
      <w:tr w:rsidR="00BD4303" w:rsidRPr="00541521" w14:paraId="02C57546" w14:textId="77777777" w:rsidTr="00541521">
        <w:trPr>
          <w:cantSplit/>
          <w:jc w:val="center"/>
        </w:trPr>
        <w:tc>
          <w:tcPr>
            <w:tcW w:w="317" w:type="dxa"/>
            <w:shd w:val="clear" w:color="auto" w:fill="1A4B2E"/>
            <w:tcMar>
              <w:top w:w="65" w:type="dxa"/>
              <w:left w:w="15" w:type="dxa"/>
              <w:bottom w:w="65" w:type="dxa"/>
              <w:right w:w="15" w:type="dxa"/>
            </w:tcMar>
            <w:vAlign w:val="center"/>
          </w:tcPr>
          <w:p w14:paraId="5B58B321" w14:textId="77777777" w:rsidR="00BD4303" w:rsidRPr="00541521" w:rsidRDefault="002750F5">
            <w:pPr>
              <w:jc w:val="center"/>
              <w:rPr>
                <w:rFonts w:ascii="Libre Franklin" w:hAnsi="Libre Franklin"/>
                <w:color w:val="E8E8E8"/>
              </w:rPr>
            </w:pPr>
            <w:r w:rsidRPr="00DA3856">
              <w:rPr>
                <w:rFonts w:ascii="Libre Franklin" w:hAnsi="Libre Franklin"/>
                <w:b/>
                <w:color w:val="E8E8E8"/>
                <w:sz w:val="17"/>
              </w:rPr>
              <w:t>7</w:t>
            </w:r>
          </w:p>
        </w:tc>
        <w:tc>
          <w:tcPr>
            <w:tcW w:w="10973" w:type="dxa"/>
            <w:shd w:val="clear" w:color="auto" w:fill="1A4B2E"/>
            <w:tcMar>
              <w:top w:w="80" w:type="dxa"/>
              <w:left w:w="90" w:type="dxa"/>
              <w:bottom w:w="80" w:type="dxa"/>
              <w:right w:w="90" w:type="dxa"/>
            </w:tcMar>
          </w:tcPr>
          <w:p w14:paraId="74DCE4BB" w14:textId="77777777" w:rsidR="00BD4303" w:rsidRPr="00541521" w:rsidRDefault="002750F5">
            <w:pPr>
              <w:spacing w:after="40"/>
              <w:rPr>
                <w:rFonts w:ascii="Libre Franklin" w:hAnsi="Libre Franklin"/>
                <w:color w:val="E8E8E8"/>
              </w:rPr>
            </w:pPr>
            <w:r w:rsidRPr="00541521">
              <w:rPr>
                <w:rFonts w:ascii="Libre Franklin" w:hAnsi="Libre Franklin"/>
                <w:b/>
                <w:color w:val="E8E8E8"/>
                <w:sz w:val="19"/>
              </w:rPr>
              <w:t>“Why does executive involvement matter if this is an operational program?”</w:t>
            </w:r>
          </w:p>
          <w:p w14:paraId="593FE1C7" w14:textId="77777777" w:rsidR="00BD4303" w:rsidRPr="00541521" w:rsidRDefault="002750F5">
            <w:pPr>
              <w:spacing w:after="0"/>
              <w:rPr>
                <w:rFonts w:ascii="Libre Franklin" w:hAnsi="Libre Franklin"/>
                <w:color w:val="E8E8E8"/>
              </w:rPr>
            </w:pPr>
            <w:r w:rsidRPr="00541521">
              <w:rPr>
                <w:rFonts w:ascii="Libre Franklin" w:hAnsi="Libre Franklin"/>
                <w:color w:val="EABE3F"/>
                <w:sz w:val="17"/>
              </w:rPr>
              <w:t>Because many of the conditions that determine CGIC success cross organizational boundaries. Leaders establish priorities, clarify ownership, resolve competing responsibilities, support staffing and training, maintain partnerships, and ensure resources are planned. Executive sponsorship signals that timely crime gun intelligence is an organizational responsibility rather than the responsibility of one unit or individual.</w:t>
            </w:r>
          </w:p>
        </w:tc>
      </w:tr>
    </w:tbl>
    <w:p w14:paraId="6C30BA12" w14:textId="77777777" w:rsidR="00BD4303" w:rsidRPr="00541521" w:rsidRDefault="00BD4303">
      <w:pPr>
        <w:spacing w:after="20"/>
        <w:rPr>
          <w:rFonts w:ascii="Libre Franklin" w:hAnsi="Libre Franklin"/>
        </w:rPr>
      </w:pPr>
    </w:p>
    <w:tbl>
      <w:tblPr>
        <w:tblW w:w="0" w:type="auto"/>
        <w:jc w:val="center"/>
        <w:tblLayout w:type="fixed"/>
        <w:tblLook w:val="04A0" w:firstRow="1" w:lastRow="0" w:firstColumn="1" w:lastColumn="0" w:noHBand="0" w:noVBand="1"/>
      </w:tblPr>
      <w:tblGrid>
        <w:gridCol w:w="317"/>
        <w:gridCol w:w="10973"/>
      </w:tblGrid>
      <w:tr w:rsidR="00BD4303" w:rsidRPr="00541521" w14:paraId="0D9694C3" w14:textId="77777777" w:rsidTr="00541521">
        <w:trPr>
          <w:cantSplit/>
          <w:jc w:val="center"/>
        </w:trPr>
        <w:tc>
          <w:tcPr>
            <w:tcW w:w="317" w:type="dxa"/>
            <w:shd w:val="clear" w:color="auto" w:fill="1A4B2E"/>
            <w:tcMar>
              <w:top w:w="65" w:type="dxa"/>
              <w:left w:w="15" w:type="dxa"/>
              <w:bottom w:w="65" w:type="dxa"/>
              <w:right w:w="15" w:type="dxa"/>
            </w:tcMar>
            <w:vAlign w:val="center"/>
          </w:tcPr>
          <w:p w14:paraId="245F34DC" w14:textId="77777777" w:rsidR="00BD4303" w:rsidRPr="00541521" w:rsidRDefault="002750F5">
            <w:pPr>
              <w:jc w:val="center"/>
              <w:rPr>
                <w:rFonts w:ascii="Libre Franklin" w:hAnsi="Libre Franklin"/>
                <w:color w:val="E8E8E8"/>
              </w:rPr>
            </w:pPr>
            <w:r w:rsidRPr="00DA3856">
              <w:rPr>
                <w:rFonts w:ascii="Libre Franklin" w:hAnsi="Libre Franklin"/>
                <w:b/>
                <w:color w:val="E8E8E8"/>
                <w:sz w:val="17"/>
              </w:rPr>
              <w:t>8</w:t>
            </w:r>
          </w:p>
        </w:tc>
        <w:tc>
          <w:tcPr>
            <w:tcW w:w="10973" w:type="dxa"/>
            <w:shd w:val="clear" w:color="auto" w:fill="1A4B2E"/>
            <w:tcMar>
              <w:top w:w="80" w:type="dxa"/>
              <w:left w:w="90" w:type="dxa"/>
              <w:bottom w:w="80" w:type="dxa"/>
              <w:right w:w="90" w:type="dxa"/>
            </w:tcMar>
          </w:tcPr>
          <w:p w14:paraId="737BB11D" w14:textId="77777777" w:rsidR="00BD4303" w:rsidRPr="00541521" w:rsidRDefault="002750F5">
            <w:pPr>
              <w:spacing w:after="40"/>
              <w:rPr>
                <w:rFonts w:ascii="Libre Franklin" w:hAnsi="Libre Franklin"/>
                <w:color w:val="E8E8E8"/>
              </w:rPr>
            </w:pPr>
            <w:r w:rsidRPr="00541521">
              <w:rPr>
                <w:rFonts w:ascii="Libre Franklin" w:hAnsi="Libre Franklin"/>
                <w:b/>
                <w:color w:val="E8E8E8"/>
                <w:sz w:val="19"/>
              </w:rPr>
              <w:t>“How do we know whether the program is successful?”</w:t>
            </w:r>
          </w:p>
          <w:p w14:paraId="6B469387" w14:textId="77777777" w:rsidR="00BD4303" w:rsidRPr="00541521" w:rsidRDefault="002750F5">
            <w:pPr>
              <w:spacing w:after="0"/>
              <w:rPr>
                <w:rFonts w:ascii="Libre Franklin" w:hAnsi="Libre Franklin"/>
                <w:color w:val="E8E8E8"/>
              </w:rPr>
            </w:pPr>
            <w:r w:rsidRPr="00541521">
              <w:rPr>
                <w:rFonts w:ascii="Libre Franklin" w:hAnsi="Libre Franklin"/>
                <w:color w:val="EABE3F"/>
                <w:sz w:val="17"/>
              </w:rPr>
              <w:t>Do not rely on a single number. Leaders should look at a balanced picture of activity, performance, and outcomes - for example, whether eligible evidence is being processed, whether intelligence is moving quickly enough to be useful, whether leads are being followed up, whether capacity or backlogs are becoming a risk, and whether the information is contributing to investigations and cross-jurisdictional awareness.</w:t>
            </w:r>
          </w:p>
        </w:tc>
      </w:tr>
    </w:tbl>
    <w:p w14:paraId="64D5B3E9" w14:textId="77777777" w:rsidR="00BD4303" w:rsidRPr="00541521" w:rsidRDefault="00BD4303">
      <w:pPr>
        <w:spacing w:after="20"/>
        <w:rPr>
          <w:rFonts w:ascii="Libre Franklin" w:hAnsi="Libre Franklin"/>
        </w:rPr>
      </w:pPr>
    </w:p>
    <w:tbl>
      <w:tblPr>
        <w:tblW w:w="0" w:type="auto"/>
        <w:jc w:val="center"/>
        <w:tblLayout w:type="fixed"/>
        <w:tblLook w:val="04A0" w:firstRow="1" w:lastRow="0" w:firstColumn="1" w:lastColumn="0" w:noHBand="0" w:noVBand="1"/>
      </w:tblPr>
      <w:tblGrid>
        <w:gridCol w:w="317"/>
        <w:gridCol w:w="10973"/>
      </w:tblGrid>
      <w:tr w:rsidR="00BD4303" w:rsidRPr="00541521" w14:paraId="75851968" w14:textId="77777777" w:rsidTr="00541521">
        <w:trPr>
          <w:cantSplit/>
          <w:jc w:val="center"/>
        </w:trPr>
        <w:tc>
          <w:tcPr>
            <w:tcW w:w="317" w:type="dxa"/>
            <w:shd w:val="clear" w:color="auto" w:fill="1A4B2E"/>
            <w:tcMar>
              <w:top w:w="65" w:type="dxa"/>
              <w:left w:w="15" w:type="dxa"/>
              <w:bottom w:w="65" w:type="dxa"/>
              <w:right w:w="15" w:type="dxa"/>
            </w:tcMar>
            <w:vAlign w:val="center"/>
          </w:tcPr>
          <w:p w14:paraId="7563DEE3" w14:textId="77777777" w:rsidR="00BD4303" w:rsidRPr="00541521" w:rsidRDefault="002750F5">
            <w:pPr>
              <w:jc w:val="center"/>
              <w:rPr>
                <w:rFonts w:ascii="Libre Franklin" w:hAnsi="Libre Franklin"/>
                <w:color w:val="E8E8E8"/>
              </w:rPr>
            </w:pPr>
            <w:r w:rsidRPr="00DA3856">
              <w:rPr>
                <w:rFonts w:ascii="Libre Franklin" w:hAnsi="Libre Franklin"/>
                <w:b/>
                <w:color w:val="E8E8E8"/>
                <w:sz w:val="17"/>
              </w:rPr>
              <w:t>9</w:t>
            </w:r>
          </w:p>
        </w:tc>
        <w:tc>
          <w:tcPr>
            <w:tcW w:w="10973" w:type="dxa"/>
            <w:shd w:val="clear" w:color="auto" w:fill="1A4B2E"/>
            <w:tcMar>
              <w:top w:w="80" w:type="dxa"/>
              <w:left w:w="90" w:type="dxa"/>
              <w:bottom w:w="80" w:type="dxa"/>
              <w:right w:w="90" w:type="dxa"/>
            </w:tcMar>
          </w:tcPr>
          <w:p w14:paraId="136AA43A" w14:textId="77777777" w:rsidR="00BD4303" w:rsidRPr="00541521" w:rsidRDefault="002750F5">
            <w:pPr>
              <w:spacing w:after="40"/>
              <w:rPr>
                <w:rFonts w:ascii="Libre Franklin" w:hAnsi="Libre Franklin"/>
                <w:color w:val="E8E8E8"/>
              </w:rPr>
            </w:pPr>
            <w:r w:rsidRPr="00541521">
              <w:rPr>
                <w:rFonts w:ascii="Libre Franklin" w:hAnsi="Libre Franklin"/>
                <w:b/>
                <w:color w:val="E8E8E8"/>
                <w:sz w:val="19"/>
              </w:rPr>
              <w:t>“What is the biggest sustainability risk?”</w:t>
            </w:r>
          </w:p>
          <w:p w14:paraId="7D2AFEFD" w14:textId="77777777" w:rsidR="00BD4303" w:rsidRPr="00541521" w:rsidRDefault="002750F5">
            <w:pPr>
              <w:spacing w:after="0"/>
              <w:rPr>
                <w:rFonts w:ascii="Libre Franklin" w:hAnsi="Libre Franklin"/>
                <w:color w:val="E8E8E8"/>
              </w:rPr>
            </w:pPr>
            <w:r w:rsidRPr="00541521">
              <w:rPr>
                <w:rFonts w:ascii="Libre Franklin" w:hAnsi="Libre Franklin"/>
                <w:color w:val="EABE3F"/>
                <w:sz w:val="17"/>
              </w:rPr>
              <w:t>Dependence on individual people, temporary funding, undocumented processes, or aging technology can all threaten continuity. A resilient program has clear ownership, trained backups, documented workflows, active partnerships, meaningful performance measures, and a forward-looking resource plan. The test is simple: can the capability continue when people, leaders, funding, or equipment change?</w:t>
            </w:r>
          </w:p>
        </w:tc>
      </w:tr>
    </w:tbl>
    <w:p w14:paraId="0E2CA165" w14:textId="77777777" w:rsidR="00BD4303" w:rsidRPr="00541521" w:rsidRDefault="00BD4303">
      <w:pPr>
        <w:spacing w:after="20"/>
        <w:rPr>
          <w:rFonts w:ascii="Libre Franklin" w:hAnsi="Libre Franklin"/>
        </w:rPr>
      </w:pPr>
    </w:p>
    <w:tbl>
      <w:tblPr>
        <w:tblW w:w="11340" w:type="dxa"/>
        <w:tblInd w:w="-120" w:type="dxa"/>
        <w:tblLook w:val="04A0" w:firstRow="1" w:lastRow="0" w:firstColumn="1" w:lastColumn="0" w:noHBand="0" w:noVBand="1"/>
      </w:tblPr>
      <w:tblGrid>
        <w:gridCol w:w="11340"/>
      </w:tblGrid>
      <w:tr w:rsidR="00BD4303" w:rsidRPr="00541521" w14:paraId="4BF4C699" w14:textId="77777777" w:rsidTr="00541521">
        <w:trPr>
          <w:cantSplit/>
        </w:trPr>
        <w:tc>
          <w:tcPr>
            <w:tcW w:w="11340" w:type="dxa"/>
            <w:shd w:val="clear" w:color="auto" w:fill="1A204B"/>
            <w:tcMar>
              <w:top w:w="100" w:type="dxa"/>
              <w:left w:w="150" w:type="dxa"/>
              <w:bottom w:w="100" w:type="dxa"/>
              <w:right w:w="150" w:type="dxa"/>
            </w:tcMar>
          </w:tcPr>
          <w:p w14:paraId="613867D8" w14:textId="5E275006" w:rsidR="00BD4303" w:rsidRPr="00541521" w:rsidRDefault="002750F5" w:rsidP="00541521">
            <w:pPr>
              <w:ind w:right="-654"/>
              <w:rPr>
                <w:rFonts w:ascii="Libre Franklin" w:hAnsi="Libre Franklin"/>
              </w:rPr>
            </w:pPr>
            <w:r w:rsidRPr="00541521">
              <w:rPr>
                <w:rFonts w:ascii="Libre Franklin" w:hAnsi="Libre Franklin"/>
                <w:b/>
                <w:color w:val="EABE3F"/>
                <w:sz w:val="19"/>
              </w:rPr>
              <w:t>THE BOTTOM LINE</w:t>
            </w:r>
            <w:r w:rsidR="00541521">
              <w:rPr>
                <w:rFonts w:ascii="Libre Franklin" w:hAnsi="Libre Franklin"/>
                <w:b/>
                <w:color w:val="EABE3F"/>
                <w:sz w:val="19"/>
              </w:rPr>
              <w:t>:</w:t>
            </w:r>
            <w:r w:rsidRPr="00541521">
              <w:rPr>
                <w:rFonts w:ascii="Libre Franklin" w:hAnsi="Libre Franklin"/>
                <w:b/>
                <w:color w:val="EABE3F"/>
                <w:sz w:val="19"/>
              </w:rPr>
              <w:t xml:space="preserve"> </w:t>
            </w:r>
            <w:r w:rsidRPr="00541521">
              <w:rPr>
                <w:rFonts w:ascii="Libre Franklin" w:hAnsi="Libre Franklin"/>
                <w:b/>
                <w:color w:val="E8E8E8"/>
                <w:sz w:val="19"/>
              </w:rPr>
              <w:t>NIBIN provides the connection. The CGIC provides the capability to act on it. Leadership makes that capability sustainable.</w:t>
            </w:r>
          </w:p>
        </w:tc>
      </w:tr>
    </w:tbl>
    <w:p w14:paraId="0873C276" w14:textId="77777777" w:rsidR="00275C9B" w:rsidRDefault="00275C9B">
      <w:pPr>
        <w:rPr>
          <w:rFonts w:ascii="Libre Franklin" w:hAnsi="Libre Franklin"/>
        </w:rPr>
      </w:pPr>
    </w:p>
    <w:p w14:paraId="6EB256CA" w14:textId="77777777" w:rsidR="00F516E8" w:rsidRPr="00F516E8" w:rsidRDefault="00F516E8" w:rsidP="00F516E8">
      <w:pPr>
        <w:rPr>
          <w:rFonts w:ascii="Libre Franklin" w:hAnsi="Libre Franklin"/>
        </w:rPr>
      </w:pPr>
    </w:p>
    <w:p w14:paraId="211EBFF4" w14:textId="77777777" w:rsidR="00F516E8" w:rsidRPr="00F516E8" w:rsidRDefault="00F516E8" w:rsidP="00F516E8">
      <w:pPr>
        <w:rPr>
          <w:rFonts w:ascii="Libre Franklin" w:hAnsi="Libre Franklin"/>
        </w:rPr>
      </w:pPr>
    </w:p>
    <w:p w14:paraId="014FDA69" w14:textId="77777777" w:rsidR="00F516E8" w:rsidRPr="00F516E8" w:rsidRDefault="00F516E8" w:rsidP="00F516E8">
      <w:pPr>
        <w:rPr>
          <w:rFonts w:ascii="Libre Franklin" w:hAnsi="Libre Franklin"/>
        </w:rPr>
      </w:pPr>
    </w:p>
    <w:p w14:paraId="4EB6C103" w14:textId="77777777" w:rsidR="00F516E8" w:rsidRPr="00F516E8" w:rsidRDefault="00F516E8" w:rsidP="00F516E8">
      <w:pPr>
        <w:rPr>
          <w:rFonts w:ascii="Libre Franklin" w:hAnsi="Libre Franklin"/>
        </w:rPr>
      </w:pPr>
    </w:p>
    <w:p w14:paraId="21E2DA27" w14:textId="77777777" w:rsidR="00F516E8" w:rsidRPr="00F516E8" w:rsidRDefault="00F516E8" w:rsidP="00F516E8">
      <w:pPr>
        <w:rPr>
          <w:rFonts w:ascii="Libre Franklin" w:hAnsi="Libre Franklin"/>
        </w:rPr>
      </w:pPr>
    </w:p>
    <w:p w14:paraId="6EA72832" w14:textId="77777777" w:rsidR="00F516E8" w:rsidRPr="00F516E8" w:rsidRDefault="00F516E8" w:rsidP="00F516E8">
      <w:pPr>
        <w:rPr>
          <w:rFonts w:ascii="Libre Franklin" w:hAnsi="Libre Franklin"/>
        </w:rPr>
      </w:pPr>
    </w:p>
    <w:p w14:paraId="1C29EB5E" w14:textId="77777777" w:rsidR="00F516E8" w:rsidRPr="00F516E8" w:rsidRDefault="00F516E8" w:rsidP="00F516E8">
      <w:pPr>
        <w:rPr>
          <w:rFonts w:ascii="Libre Franklin" w:hAnsi="Libre Franklin"/>
        </w:rPr>
      </w:pPr>
    </w:p>
    <w:p w14:paraId="522133AB" w14:textId="77777777" w:rsidR="00F516E8" w:rsidRPr="00F516E8" w:rsidRDefault="00F516E8" w:rsidP="00F516E8">
      <w:pPr>
        <w:rPr>
          <w:rFonts w:ascii="Libre Franklin" w:hAnsi="Libre Franklin"/>
        </w:rPr>
      </w:pPr>
    </w:p>
    <w:p w14:paraId="392A56EE" w14:textId="77777777" w:rsidR="00F516E8" w:rsidRPr="00F516E8" w:rsidRDefault="00F516E8" w:rsidP="00F516E8">
      <w:pPr>
        <w:rPr>
          <w:rFonts w:ascii="Libre Franklin" w:hAnsi="Libre Franklin"/>
        </w:rPr>
      </w:pPr>
    </w:p>
    <w:p w14:paraId="7A685408" w14:textId="77777777" w:rsidR="00F516E8" w:rsidRPr="00F516E8" w:rsidRDefault="00F516E8" w:rsidP="00F516E8">
      <w:pPr>
        <w:rPr>
          <w:rFonts w:ascii="Libre Franklin" w:hAnsi="Libre Franklin"/>
        </w:rPr>
      </w:pPr>
    </w:p>
    <w:p w14:paraId="5A0F8F74" w14:textId="77777777" w:rsidR="00F516E8" w:rsidRPr="00F516E8" w:rsidRDefault="00F516E8" w:rsidP="00F516E8">
      <w:pPr>
        <w:rPr>
          <w:rFonts w:ascii="Libre Franklin" w:hAnsi="Libre Franklin"/>
        </w:rPr>
      </w:pPr>
    </w:p>
    <w:p w14:paraId="56E7F746" w14:textId="77777777" w:rsidR="00F516E8" w:rsidRPr="00F516E8" w:rsidRDefault="00F516E8" w:rsidP="00F516E8">
      <w:pPr>
        <w:rPr>
          <w:rFonts w:ascii="Libre Franklin" w:hAnsi="Libre Franklin"/>
        </w:rPr>
      </w:pPr>
    </w:p>
    <w:p w14:paraId="340B23CB" w14:textId="77777777" w:rsidR="00F516E8" w:rsidRPr="00F516E8" w:rsidRDefault="00F516E8" w:rsidP="00F516E8">
      <w:pPr>
        <w:rPr>
          <w:rFonts w:ascii="Libre Franklin" w:hAnsi="Libre Franklin"/>
        </w:rPr>
      </w:pPr>
    </w:p>
    <w:p w14:paraId="18A6388E" w14:textId="77777777" w:rsidR="00F516E8" w:rsidRPr="00F516E8" w:rsidRDefault="00F516E8" w:rsidP="00F516E8">
      <w:pPr>
        <w:rPr>
          <w:rFonts w:ascii="Libre Franklin" w:hAnsi="Libre Franklin"/>
        </w:rPr>
      </w:pPr>
    </w:p>
    <w:p w14:paraId="5D4C69EC" w14:textId="77777777" w:rsidR="00F516E8" w:rsidRPr="00F516E8" w:rsidRDefault="00F516E8" w:rsidP="00F516E8">
      <w:pPr>
        <w:rPr>
          <w:rFonts w:ascii="Libre Franklin" w:hAnsi="Libre Franklin"/>
        </w:rPr>
      </w:pPr>
    </w:p>
    <w:p w14:paraId="24CD2B28" w14:textId="77777777" w:rsidR="00F516E8" w:rsidRDefault="00F516E8" w:rsidP="00F516E8">
      <w:pPr>
        <w:rPr>
          <w:rFonts w:ascii="Libre Franklin" w:hAnsi="Libre Franklin"/>
        </w:rPr>
      </w:pPr>
    </w:p>
    <w:p w14:paraId="2A5028F1" w14:textId="603F7D71" w:rsidR="00F516E8" w:rsidRPr="00F516E8" w:rsidRDefault="00F516E8" w:rsidP="00F516E8">
      <w:pPr>
        <w:tabs>
          <w:tab w:val="left" w:pos="9025"/>
        </w:tabs>
        <w:rPr>
          <w:rFonts w:ascii="Libre Franklin" w:hAnsi="Libre Franklin"/>
        </w:rPr>
      </w:pPr>
      <w:r>
        <w:rPr>
          <w:rFonts w:ascii="Libre Franklin" w:hAnsi="Libre Franklin"/>
        </w:rPr>
        <w:tab/>
      </w:r>
    </w:p>
    <w:sectPr w:rsidR="00F516E8" w:rsidRPr="00F516E8" w:rsidSect="00541521">
      <w:footerReference w:type="default" r:id="rId8"/>
      <w:headerReference w:type="first" r:id="rId9"/>
      <w:pgSz w:w="12240" w:h="15840"/>
      <w:pgMar w:top="605" w:right="749" w:bottom="605" w:left="74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C5ACB8" w14:textId="77777777" w:rsidR="000D7DDF" w:rsidRDefault="000D7DDF">
      <w:pPr>
        <w:spacing w:after="0" w:line="240" w:lineRule="auto"/>
      </w:pPr>
      <w:r>
        <w:separator/>
      </w:r>
    </w:p>
  </w:endnote>
  <w:endnote w:type="continuationSeparator" w:id="0">
    <w:p w14:paraId="01E61510" w14:textId="77777777" w:rsidR="000D7DDF" w:rsidRDefault="000D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Libre Franklin">
    <w:panose1 w:val="00000000000000000000"/>
    <w:charset w:val="4D"/>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54B734" w14:textId="5CB4EF5C" w:rsidR="00BD4303" w:rsidRPr="00F516E8" w:rsidRDefault="00F516E8" w:rsidP="00F516E8">
    <w:pPr>
      <w:pStyle w:val="Footer"/>
      <w:jc w:val="center"/>
      <w:rPr>
        <w:rFonts w:ascii="Libre Franklin" w:hAnsi="Libre Franklin"/>
        <w:color w:val="1A204B"/>
        <w:szCs w:val="18"/>
      </w:rPr>
    </w:pPr>
    <w:r w:rsidRPr="001D478B">
      <w:rPr>
        <w:rFonts w:ascii="Libre Franklin" w:hAnsi="Libre Franklin"/>
        <w:color w:val="1A204B"/>
        <w:szCs w:val="18"/>
      </w:rPr>
      <w:t>[CGIC/NIBIN PROGRAM NAME] | [PROGRAM CONTACT] | [</w:t>
    </w:r>
    <w:r>
      <w:rPr>
        <w:rFonts w:ascii="Libre Franklin" w:hAnsi="Libre Franklin"/>
        <w:color w:val="1A204B"/>
        <w:szCs w:val="18"/>
      </w:rPr>
      <w:t>EXECUTIVE SPONSOR</w:t>
    </w:r>
    <w:r w:rsidRPr="001D478B">
      <w:rPr>
        <w:rFonts w:ascii="Libre Franklin" w:hAnsi="Libre Franklin"/>
        <w:color w:val="1A204B"/>
        <w:szCs w:val="18"/>
      </w:rPr>
      <w:t>] | [LOCAL RESOURCE LINK]</w:t>
    </w:r>
    <w:r w:rsidRPr="001D478B">
      <w:rPr>
        <w:rFonts w:ascii="Libre Franklin" w:hAnsi="Libre Franklin"/>
        <w:color w:val="1A204B"/>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582F93" w14:textId="77777777" w:rsidR="000D7DDF" w:rsidRDefault="000D7DDF">
      <w:pPr>
        <w:spacing w:after="0" w:line="240" w:lineRule="auto"/>
      </w:pPr>
      <w:r>
        <w:separator/>
      </w:r>
    </w:p>
  </w:footnote>
  <w:footnote w:type="continuationSeparator" w:id="0">
    <w:p w14:paraId="32181737" w14:textId="77777777" w:rsidR="000D7DDF" w:rsidRDefault="000D7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E31AB" w14:textId="3ADDAF37" w:rsidR="00541521" w:rsidRDefault="00541521">
    <w:pPr>
      <w:pStyle w:val="Header"/>
    </w:pPr>
    <w:r>
      <w:rPr>
        <w:noProof/>
      </w:rPr>
      <w:drawing>
        <wp:inline distT="0" distB="0" distL="0" distR="0" wp14:anchorId="6597A9C5" wp14:editId="0658CDC6">
          <wp:extent cx="2923953" cy="458842"/>
          <wp:effectExtent l="0" t="0" r="0" b="0"/>
          <wp:docPr id="929168011" name="Picture 1" descr="Crime Gun Intelligence Centers: Connecting the Do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8011" name="Picture 1" descr="Crime Gun Intelligence Centers: Connecting the Dots Logo"/>
                  <pic:cNvPicPr/>
                </pic:nvPicPr>
                <pic:blipFill rotWithShape="1">
                  <a:blip r:embed="rId1"/>
                  <a:srcRect b="26696"/>
                  <a:stretch>
                    <a:fillRect/>
                  </a:stretch>
                </pic:blipFill>
                <pic:spPr bwMode="auto">
                  <a:xfrm>
                    <a:off x="0" y="0"/>
                    <a:ext cx="4070026" cy="63869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924874">
    <w:abstractNumId w:val="8"/>
  </w:num>
  <w:num w:numId="2" w16cid:durableId="1001853796">
    <w:abstractNumId w:val="6"/>
  </w:num>
  <w:num w:numId="3" w16cid:durableId="1490318262">
    <w:abstractNumId w:val="5"/>
  </w:num>
  <w:num w:numId="4" w16cid:durableId="388774373">
    <w:abstractNumId w:val="4"/>
  </w:num>
  <w:num w:numId="5" w16cid:durableId="762074934">
    <w:abstractNumId w:val="7"/>
  </w:num>
  <w:num w:numId="6" w16cid:durableId="2060662695">
    <w:abstractNumId w:val="3"/>
  </w:num>
  <w:num w:numId="7" w16cid:durableId="1659113260">
    <w:abstractNumId w:val="2"/>
  </w:num>
  <w:num w:numId="8" w16cid:durableId="537593238">
    <w:abstractNumId w:val="1"/>
  </w:num>
  <w:num w:numId="9" w16cid:durableId="5980225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DDF"/>
    <w:rsid w:val="000F4C3F"/>
    <w:rsid w:val="0015074B"/>
    <w:rsid w:val="0016065B"/>
    <w:rsid w:val="002750F5"/>
    <w:rsid w:val="00275C9B"/>
    <w:rsid w:val="0029639D"/>
    <w:rsid w:val="00326F90"/>
    <w:rsid w:val="00541521"/>
    <w:rsid w:val="0054226A"/>
    <w:rsid w:val="00597393"/>
    <w:rsid w:val="009A35BD"/>
    <w:rsid w:val="00AA1D8D"/>
    <w:rsid w:val="00B47730"/>
    <w:rsid w:val="00B739EE"/>
    <w:rsid w:val="00B8054E"/>
    <w:rsid w:val="00BD4303"/>
    <w:rsid w:val="00CB0664"/>
    <w:rsid w:val="00D46D07"/>
    <w:rsid w:val="00D72470"/>
    <w:rsid w:val="00DA3856"/>
    <w:rsid w:val="00DF4E23"/>
    <w:rsid w:val="00E622E0"/>
    <w:rsid w:val="00F516E8"/>
    <w:rsid w:val="00F618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29C5A9"/>
  <w14:defaultImageDpi w14:val="300"/>
  <w15:docId w15:val="{8D17FE5C-551D-E14D-9F99-C7A7EF79E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7313A"/>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54226A"/>
    <w:rPr>
      <w:sz w:val="16"/>
      <w:szCs w:val="16"/>
    </w:rPr>
  </w:style>
  <w:style w:type="paragraph" w:styleId="CommentText">
    <w:name w:val="annotation text"/>
    <w:basedOn w:val="Normal"/>
    <w:link w:val="CommentTextChar"/>
    <w:uiPriority w:val="99"/>
    <w:unhideWhenUsed/>
    <w:rsid w:val="0054226A"/>
    <w:pPr>
      <w:spacing w:line="240" w:lineRule="auto"/>
    </w:pPr>
    <w:rPr>
      <w:sz w:val="20"/>
      <w:szCs w:val="20"/>
    </w:rPr>
  </w:style>
  <w:style w:type="character" w:customStyle="1" w:styleId="CommentTextChar">
    <w:name w:val="Comment Text Char"/>
    <w:basedOn w:val="DefaultParagraphFont"/>
    <w:link w:val="CommentText"/>
    <w:uiPriority w:val="99"/>
    <w:rsid w:val="0054226A"/>
    <w:rPr>
      <w:rFonts w:ascii="Aptos" w:hAnsi="Aptos"/>
      <w:color w:val="27313A"/>
      <w:sz w:val="20"/>
      <w:szCs w:val="20"/>
    </w:rPr>
  </w:style>
  <w:style w:type="paragraph" w:styleId="CommentSubject">
    <w:name w:val="annotation subject"/>
    <w:basedOn w:val="CommentText"/>
    <w:next w:val="CommentText"/>
    <w:link w:val="CommentSubjectChar"/>
    <w:uiPriority w:val="99"/>
    <w:semiHidden/>
    <w:unhideWhenUsed/>
    <w:rsid w:val="0054226A"/>
    <w:rPr>
      <w:b/>
      <w:bCs/>
    </w:rPr>
  </w:style>
  <w:style w:type="character" w:customStyle="1" w:styleId="CommentSubjectChar">
    <w:name w:val="Comment Subject Char"/>
    <w:basedOn w:val="CommentTextChar"/>
    <w:link w:val="CommentSubject"/>
    <w:uiPriority w:val="99"/>
    <w:semiHidden/>
    <w:rsid w:val="0054226A"/>
    <w:rPr>
      <w:rFonts w:ascii="Aptos" w:hAnsi="Aptos"/>
      <w:b/>
      <w:bCs/>
      <w:color w:val="27313A"/>
      <w:sz w:val="20"/>
      <w:szCs w:val="20"/>
    </w:rPr>
  </w:style>
  <w:style w:type="paragraph" w:styleId="Revision">
    <w:name w:val="Revision"/>
    <w:hidden/>
    <w:uiPriority w:val="99"/>
    <w:semiHidden/>
    <w:rsid w:val="0054226A"/>
    <w:pPr>
      <w:spacing w:after="0" w:line="240" w:lineRule="auto"/>
    </w:pPr>
    <w:rPr>
      <w:rFonts w:ascii="Aptos" w:hAnsi="Aptos"/>
      <w:color w:val="27313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659</Words>
  <Characters>4180</Characters>
  <Application>Microsoft Office Word</Application>
  <DocSecurity>0</DocSecurity>
  <Lines>104</Lines>
  <Paragraphs>73</Paragraphs>
  <ScaleCrop>false</ScaleCrop>
  <HeadingPairs>
    <vt:vector size="2" baseType="variant">
      <vt:variant>
        <vt:lpstr>Title</vt:lpstr>
      </vt:variant>
      <vt:variant>
        <vt:i4>1</vt:i4>
      </vt:variant>
    </vt:vector>
  </HeadingPairs>
  <TitlesOfParts>
    <vt:vector size="1" baseType="lpstr">
      <vt:lpstr>NIBIN / CGIC Executive Q&amp;A Guide</vt:lpstr>
    </vt:vector>
  </TitlesOfParts>
  <Manager/>
  <Company/>
  <LinksUpToDate>false</LinksUpToDate>
  <CharactersWithSpaces>4766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NIBIN / CGIC Executive Q&amp;A Guide</dc:title>
  <dc:subject>Companion resource for incoming leadership</dc:subject>
  <dc:creator>NPI</dc:creator>
  <cp:keywords>NIBIN, CGIC, executive, leadership, sustainability, Q&amp;A</cp:keywords>
  <dc:description/>
  <cp:lastModifiedBy>Alan Hughes</cp:lastModifiedBy>
  <cp:revision>9</cp:revision>
  <dcterms:created xsi:type="dcterms:W3CDTF">2026-08-10T22:57:00Z</dcterms:created>
  <dcterms:modified xsi:type="dcterms:W3CDTF">2026-09-28T23:14:00Z</dcterms:modified>
  <cp:category/>
</cp:coreProperties>
</file>