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330" w:type="dxa"/>
        <w:tblInd w:w="-570" w:type="dxa"/>
        <w:tblLayout w:type="fixed"/>
        <w:tblLook w:val="04A0" w:firstRow="1" w:lastRow="0" w:firstColumn="1" w:lastColumn="0" w:noHBand="0" w:noVBand="1"/>
      </w:tblPr>
      <w:tblGrid>
        <w:gridCol w:w="6570"/>
        <w:gridCol w:w="5760"/>
      </w:tblGrid>
      <w:tr w:rsidR="00C427F7" w:rsidRPr="00870A06" w14:paraId="08D15CE3" w14:textId="77777777" w:rsidTr="00C427F7">
        <w:trPr>
          <w:cantSplit/>
          <w:trHeight w:val="806"/>
        </w:trPr>
        <w:tc>
          <w:tcPr>
            <w:tcW w:w="6570" w:type="dxa"/>
            <w:shd w:val="clear" w:color="auto" w:fill="1A204B"/>
            <w:tcMar>
              <w:top w:w="105" w:type="dxa"/>
              <w:left w:w="150" w:type="dxa"/>
              <w:bottom w:w="90" w:type="dxa"/>
              <w:right w:w="90" w:type="dxa"/>
            </w:tcMar>
          </w:tcPr>
          <w:p w14:paraId="30597449" w14:textId="77777777" w:rsidR="00C427F7" w:rsidRPr="008D0AD9" w:rsidRDefault="00C427F7" w:rsidP="00747F9F">
            <w:pPr>
              <w:pStyle w:val="Heading1"/>
              <w:spacing w:before="0"/>
              <w:ind w:left="703" w:hanging="134"/>
              <w:rPr>
                <w:rFonts w:ascii="Roboto" w:hAnsi="Roboto"/>
                <w:color w:val="EABE3F"/>
                <w:sz w:val="32"/>
                <w:szCs w:val="32"/>
              </w:rPr>
            </w:pPr>
            <w:r w:rsidRPr="008D0AD9">
              <w:rPr>
                <w:rFonts w:ascii="Roboto" w:hAnsi="Roboto"/>
                <w:color w:val="EABE3F"/>
                <w:sz w:val="32"/>
                <w:szCs w:val="32"/>
              </w:rPr>
              <w:t>NIBIN / Crime Gun Intelligence Center</w:t>
            </w:r>
          </w:p>
          <w:p w14:paraId="7256C6E4" w14:textId="13621529" w:rsidR="00C427F7" w:rsidRPr="00C427F7" w:rsidRDefault="00C427F7" w:rsidP="00C427F7">
            <w:pPr>
              <w:spacing w:after="0"/>
              <w:ind w:left="569"/>
              <w:rPr>
                <w:rFonts w:ascii="Libre Franklin" w:hAnsi="Libre Franklin"/>
                <w:sz w:val="24"/>
                <w:szCs w:val="24"/>
              </w:rPr>
            </w:pPr>
            <w:r w:rsidRPr="00C427F7">
              <w:rPr>
                <w:rFonts w:ascii="Roboto" w:hAnsi="Roboto"/>
                <w:b/>
                <w:color w:val="E8E8E8"/>
                <w:sz w:val="24"/>
                <w:szCs w:val="24"/>
              </w:rPr>
              <w:t>10–15 MINUTE ROLL-CALL BRIEFING</w:t>
            </w:r>
          </w:p>
        </w:tc>
        <w:tc>
          <w:tcPr>
            <w:tcW w:w="5760" w:type="dxa"/>
            <w:shd w:val="clear" w:color="auto" w:fill="1A204B"/>
            <w:tcMar>
              <w:top w:w="105" w:type="dxa"/>
              <w:left w:w="60" w:type="dxa"/>
              <w:bottom w:w="90" w:type="dxa"/>
              <w:right w:w="100" w:type="dxa"/>
            </w:tcMar>
          </w:tcPr>
          <w:p w14:paraId="048D3446" w14:textId="77777777" w:rsidR="00C427F7" w:rsidRPr="00850951" w:rsidRDefault="00C427F7" w:rsidP="00C427F7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381B1CD9" w14:textId="77777777" w:rsidR="00C427F7" w:rsidRPr="008D0AD9" w:rsidRDefault="00C427F7" w:rsidP="00C427F7">
            <w:pPr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  <w:r w:rsidRPr="008D0AD9">
              <w:rPr>
                <w:rFonts w:ascii="Roboto" w:hAnsi="Roboto"/>
                <w:b/>
                <w:color w:val="E8E8E8"/>
                <w:sz w:val="18"/>
                <w:szCs w:val="24"/>
              </w:rPr>
              <w:t xml:space="preserve">                                                                          [AGENCY LOGO]</w:t>
            </w:r>
          </w:p>
          <w:p w14:paraId="032E8C40" w14:textId="77777777" w:rsidR="00C427F7" w:rsidRPr="00850951" w:rsidRDefault="00C427F7" w:rsidP="00C427F7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06190494" w14:textId="6929C7A0" w:rsidR="00C427F7" w:rsidRPr="00870A06" w:rsidRDefault="00C427F7" w:rsidP="00C427F7">
            <w:pPr>
              <w:spacing w:after="0"/>
              <w:ind w:left="15"/>
              <w:jc w:val="center"/>
              <w:rPr>
                <w:rFonts w:ascii="Roboto" w:hAnsi="Roboto"/>
              </w:rPr>
            </w:pPr>
          </w:p>
        </w:tc>
      </w:tr>
    </w:tbl>
    <w:p w14:paraId="62E53001" w14:textId="74A899D0" w:rsidR="00276A57" w:rsidRPr="00C427F7" w:rsidRDefault="00F612EF" w:rsidP="000E3D32">
      <w:pPr>
        <w:spacing w:after="0"/>
        <w:rPr>
          <w:rFonts w:ascii="Libre Franklin" w:hAnsi="Libre Franklin"/>
          <w:color w:val="1A204B"/>
          <w:sz w:val="18"/>
          <w:szCs w:val="18"/>
        </w:rPr>
      </w:pPr>
      <w:r w:rsidRPr="00C427F7">
        <w:rPr>
          <w:rFonts w:ascii="Libre Franklin" w:hAnsi="Libre Franklin"/>
          <w:b/>
          <w:color w:val="1A204B"/>
          <w:sz w:val="18"/>
          <w:szCs w:val="18"/>
        </w:rPr>
        <w:t>FACILITATOR GUIDE</w:t>
      </w:r>
      <w:r w:rsidR="00A90EF1" w:rsidRPr="00C427F7">
        <w:rPr>
          <w:rFonts w:ascii="Libre Franklin" w:hAnsi="Libre Franklin"/>
          <w:b/>
          <w:color w:val="1A204B"/>
          <w:sz w:val="18"/>
          <w:szCs w:val="18"/>
        </w:rPr>
        <w:t xml:space="preserve"> - No</w:t>
      </w:r>
      <w:r w:rsidRPr="00C427F7">
        <w:rPr>
          <w:rFonts w:ascii="Libre Franklin" w:hAnsi="Libre Franklin"/>
          <w:b/>
          <w:color w:val="1A204B"/>
          <w:sz w:val="18"/>
          <w:szCs w:val="18"/>
        </w:rPr>
        <w:t xml:space="preserve"> </w:t>
      </w:r>
      <w:r w:rsidR="004A5848" w:rsidRPr="00C427F7">
        <w:rPr>
          <w:rFonts w:ascii="Libre Franklin" w:hAnsi="Libre Franklin"/>
          <w:b/>
          <w:color w:val="1A204B"/>
          <w:sz w:val="18"/>
          <w:szCs w:val="18"/>
        </w:rPr>
        <w:t>National Integrated Ballistic Information Network (</w:t>
      </w:r>
      <w:r w:rsidRPr="00C427F7">
        <w:rPr>
          <w:rFonts w:ascii="Libre Franklin" w:hAnsi="Libre Franklin"/>
          <w:b/>
          <w:color w:val="1A204B"/>
          <w:sz w:val="18"/>
          <w:szCs w:val="18"/>
        </w:rPr>
        <w:t>NIBIN</w:t>
      </w:r>
      <w:r w:rsidR="004A5848" w:rsidRPr="00C427F7">
        <w:rPr>
          <w:rFonts w:ascii="Libre Franklin" w:hAnsi="Libre Franklin"/>
          <w:b/>
          <w:color w:val="1A204B"/>
          <w:sz w:val="18"/>
          <w:szCs w:val="18"/>
        </w:rPr>
        <w:t>)</w:t>
      </w:r>
      <w:r w:rsidRPr="00C427F7">
        <w:rPr>
          <w:rFonts w:ascii="Libre Franklin" w:hAnsi="Libre Franklin"/>
          <w:b/>
          <w:color w:val="1A204B"/>
          <w:sz w:val="18"/>
          <w:szCs w:val="18"/>
        </w:rPr>
        <w:t xml:space="preserve"> expertise required.</w:t>
      </w:r>
    </w:p>
    <w:tbl>
      <w:tblPr>
        <w:tblW w:w="0" w:type="auto"/>
        <w:tblInd w:w="110" w:type="dxa"/>
        <w:tblLook w:val="04A0" w:firstRow="1" w:lastRow="0" w:firstColumn="1" w:lastColumn="0" w:noHBand="0" w:noVBand="1"/>
      </w:tblPr>
      <w:tblGrid>
        <w:gridCol w:w="10800"/>
      </w:tblGrid>
      <w:tr w:rsidR="00276A57" w:rsidRPr="00A90EF1" w14:paraId="075E4A7F" w14:textId="77777777" w:rsidTr="00B147F0">
        <w:trPr>
          <w:cantSplit/>
          <w:trHeight w:val="396"/>
        </w:trPr>
        <w:tc>
          <w:tcPr>
            <w:tcW w:w="10800" w:type="dxa"/>
            <w:shd w:val="clear" w:color="auto" w:fill="E8E8E8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0D6F7168" w14:textId="10249134" w:rsidR="00276A57" w:rsidRPr="00A90EF1" w:rsidRDefault="00F612EF" w:rsidP="00B147F0">
            <w:pPr>
              <w:spacing w:after="0"/>
              <w:rPr>
                <w:rFonts w:ascii="Libre Franklin" w:hAnsi="Libre Franklin"/>
                <w:color w:val="1A204B"/>
              </w:rPr>
            </w:pPr>
            <w:r w:rsidRPr="00A90EF1">
              <w:rPr>
                <w:rFonts w:ascii="Libre Franklin" w:hAnsi="Libre Franklin"/>
                <w:b/>
                <w:color w:val="1A204B"/>
                <w:sz w:val="16"/>
              </w:rPr>
              <w:t>PURPOSE</w:t>
            </w:r>
            <w:r w:rsidR="00A90EF1">
              <w:rPr>
                <w:rFonts w:ascii="Libre Franklin" w:hAnsi="Libre Franklin"/>
                <w:b/>
                <w:color w:val="1A204B"/>
                <w:sz w:val="16"/>
              </w:rPr>
              <w:t xml:space="preserve">: </w:t>
            </w:r>
            <w:r w:rsidRPr="00A90EF1">
              <w:rPr>
                <w:rFonts w:ascii="Libre Franklin" w:hAnsi="Libre Franklin"/>
                <w:color w:val="1A204B"/>
                <w:sz w:val="16"/>
              </w:rPr>
              <w:t xml:space="preserve">Give patrol personnel a basic understanding of NIBIN, how a </w:t>
            </w:r>
            <w:r w:rsidR="004A5848" w:rsidRPr="00A90EF1">
              <w:rPr>
                <w:rFonts w:ascii="Libre Franklin" w:hAnsi="Libre Franklin"/>
                <w:color w:val="1A204B"/>
                <w:sz w:val="16"/>
              </w:rPr>
              <w:t>crime gun intelligence center (</w:t>
            </w:r>
            <w:r w:rsidRPr="00A90EF1">
              <w:rPr>
                <w:rFonts w:ascii="Libre Franklin" w:hAnsi="Libre Franklin"/>
                <w:color w:val="1A204B"/>
                <w:sz w:val="16"/>
              </w:rPr>
              <w:t>CGIC</w:t>
            </w:r>
            <w:r w:rsidR="004A5848" w:rsidRPr="00A90EF1">
              <w:rPr>
                <w:rFonts w:ascii="Libre Franklin" w:hAnsi="Libre Franklin"/>
                <w:color w:val="1A204B"/>
                <w:sz w:val="16"/>
              </w:rPr>
              <w:t>)</w:t>
            </w:r>
            <w:r w:rsidRPr="00A90EF1">
              <w:rPr>
                <w:rFonts w:ascii="Libre Franklin" w:hAnsi="Libre Franklin"/>
                <w:color w:val="1A204B"/>
                <w:sz w:val="16"/>
              </w:rPr>
              <w:t xml:space="preserve"> uses the information, why patrol's role matters, and what officers should do under local agency procedures. Use the talking points as written or adapt them to your audience.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55"/>
        <w:gridCol w:w="4590"/>
        <w:gridCol w:w="5600"/>
      </w:tblGrid>
      <w:tr w:rsidR="00276A57" w:rsidRPr="00870A06" w14:paraId="64F21C22" w14:textId="77777777" w:rsidTr="00B147F0">
        <w:trPr>
          <w:cantSplit/>
          <w:jc w:val="center"/>
        </w:trPr>
        <w:tc>
          <w:tcPr>
            <w:tcW w:w="555" w:type="dxa"/>
            <w:shd w:val="clear" w:color="auto" w:fill="EABE3F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475CA7F4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5F2342"/>
              </w:rPr>
            </w:pPr>
            <w:r w:rsidRPr="00B07A8A">
              <w:rPr>
                <w:rFonts w:ascii="Libre Franklin" w:hAnsi="Libre Franklin"/>
                <w:b/>
                <w:color w:val="5F2342"/>
                <w:sz w:val="21"/>
              </w:rPr>
              <w:t>1</w:t>
            </w:r>
          </w:p>
          <w:p w14:paraId="48A40FDC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1A204B"/>
              </w:rPr>
            </w:pPr>
            <w:r w:rsidRPr="00B07A8A">
              <w:rPr>
                <w:rFonts w:ascii="Libre Franklin" w:hAnsi="Libre Franklin"/>
                <w:b/>
                <w:color w:val="5F2342"/>
                <w:sz w:val="11"/>
              </w:rPr>
              <w:t>2 MIN</w:t>
            </w:r>
          </w:p>
        </w:tc>
        <w:tc>
          <w:tcPr>
            <w:tcW w:w="10245" w:type="dxa"/>
            <w:gridSpan w:val="3"/>
            <w:shd w:val="clear" w:color="auto" w:fill="EABE3F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59014B0E" w14:textId="77777777" w:rsidR="00276A57" w:rsidRPr="00C427F7" w:rsidRDefault="00F612EF" w:rsidP="000E3D32">
            <w:pPr>
              <w:spacing w:after="0"/>
              <w:rPr>
                <w:rFonts w:ascii="Roboto" w:hAnsi="Roboto"/>
                <w:color w:val="5F2342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5F2342"/>
                <w:sz w:val="20"/>
                <w:szCs w:val="20"/>
              </w:rPr>
              <w:t>WHAT IS NIBIN?</w:t>
            </w:r>
          </w:p>
          <w:p w14:paraId="21A933A7" w14:textId="66E3C57B" w:rsidR="00276A57" w:rsidRPr="00B07A8A" w:rsidRDefault="00F612EF">
            <w:pPr>
              <w:spacing w:after="24"/>
              <w:rPr>
                <w:rFonts w:ascii="Libre Franklin" w:hAnsi="Libre Franklin"/>
                <w:color w:val="1A204B"/>
              </w:rPr>
            </w:pPr>
            <w:r w:rsidRPr="00B07A8A">
              <w:rPr>
                <w:rFonts w:ascii="Libre Franklin" w:hAnsi="Libre Franklin"/>
                <w:b/>
                <w:color w:val="5F2342"/>
              </w:rPr>
              <w:t xml:space="preserve">• </w:t>
            </w:r>
            <w:r w:rsidRPr="00B07A8A">
              <w:rPr>
                <w:rFonts w:ascii="Libre Franklin" w:hAnsi="Libre Franklin"/>
                <w:color w:val="1A204B"/>
                <w:sz w:val="16"/>
              </w:rPr>
              <w:t xml:space="preserve">NIBIN is </w:t>
            </w:r>
            <w:r w:rsidR="00EE6327" w:rsidRPr="00B07A8A">
              <w:rPr>
                <w:rFonts w:ascii="Libre Franklin" w:hAnsi="Libre Franklin"/>
                <w:color w:val="1A204B"/>
                <w:sz w:val="16"/>
              </w:rPr>
              <w:t>the Bureau of Alcohol, Tobacco, Firearms, and Explosives (</w:t>
            </w:r>
            <w:r w:rsidRPr="00B07A8A">
              <w:rPr>
                <w:rFonts w:ascii="Libre Franklin" w:hAnsi="Libre Franklin"/>
                <w:color w:val="1A204B"/>
                <w:sz w:val="16"/>
              </w:rPr>
              <w:t>ATF's</w:t>
            </w:r>
            <w:r w:rsidR="00EE6327" w:rsidRPr="00B07A8A">
              <w:rPr>
                <w:rFonts w:ascii="Libre Franklin" w:hAnsi="Libre Franklin"/>
                <w:color w:val="1A204B"/>
                <w:sz w:val="16"/>
              </w:rPr>
              <w:t>)</w:t>
            </w:r>
            <w:r w:rsidRPr="00B07A8A">
              <w:rPr>
                <w:rFonts w:ascii="Libre Franklin" w:hAnsi="Libre Franklin"/>
                <w:color w:val="1A204B"/>
                <w:sz w:val="16"/>
              </w:rPr>
              <w:t xml:space="preserve"> national automated ballistic imaging network.</w:t>
            </w:r>
          </w:p>
          <w:p w14:paraId="732F3FCB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1A204B"/>
              </w:rPr>
            </w:pPr>
            <w:r w:rsidRPr="00B07A8A">
              <w:rPr>
                <w:rFonts w:ascii="Libre Franklin" w:hAnsi="Libre Franklin"/>
                <w:b/>
                <w:color w:val="5F2342"/>
              </w:rPr>
              <w:t xml:space="preserve">• 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I</w:t>
            </w:r>
            <w:r w:rsidRPr="00B07A8A">
              <w:rPr>
                <w:rFonts w:ascii="Libre Franklin" w:hAnsi="Libre Franklin"/>
                <w:color w:val="1A204B"/>
                <w:sz w:val="16"/>
              </w:rPr>
              <w:t>mages of markings on fired cartridge cases can be compared with other entries to identify potential ballistic associations.</w:t>
            </w:r>
          </w:p>
          <w:p w14:paraId="76AF3C70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1A204B"/>
              </w:rPr>
            </w:pPr>
            <w:r w:rsidRPr="00B07A8A">
              <w:rPr>
                <w:rFonts w:ascii="Libre Franklin" w:hAnsi="Libre Franklin"/>
                <w:b/>
                <w:color w:val="5F2342"/>
              </w:rPr>
              <w:t xml:space="preserve">• </w:t>
            </w:r>
            <w:r w:rsidRPr="00B07A8A">
              <w:rPr>
                <w:rFonts w:ascii="Libre Franklin" w:hAnsi="Libre Franklin"/>
                <w:color w:val="1A204B"/>
                <w:sz w:val="16"/>
              </w:rPr>
              <w:t>A NIBIN lead may reveal a connection between incidents, recovered firearms, or investigations that was not previously known.</w:t>
            </w:r>
          </w:p>
          <w:p w14:paraId="3BAE91E5" w14:textId="77777777" w:rsidR="00276A57" w:rsidRPr="00B07A8A" w:rsidRDefault="00F612EF">
            <w:pPr>
              <w:spacing w:before="40" w:after="20"/>
              <w:rPr>
                <w:rFonts w:ascii="Libre Franklin" w:hAnsi="Libre Franklin"/>
                <w:color w:val="5F2342"/>
              </w:rPr>
            </w:pPr>
            <w:r w:rsidRPr="00B07A8A">
              <w:rPr>
                <w:rFonts w:ascii="Libre Franklin" w:hAnsi="Libre Franklin"/>
                <w:b/>
                <w:color w:val="5F2342"/>
                <w:sz w:val="15"/>
              </w:rPr>
              <w:t>SAY IT THIS WAY</w:t>
            </w:r>
          </w:p>
          <w:p w14:paraId="331FC5C0" w14:textId="77777777" w:rsidR="00276A57" w:rsidRPr="00B07A8A" w:rsidRDefault="00F612EF">
            <w:pPr>
              <w:spacing w:after="40"/>
              <w:rPr>
                <w:rFonts w:ascii="Libre Franklin" w:hAnsi="Libre Franklin"/>
                <w:color w:val="1A204B"/>
              </w:rPr>
            </w:pPr>
            <w:r w:rsidRPr="00B07A8A">
              <w:rPr>
                <w:rFonts w:ascii="Libre Franklin" w:hAnsi="Libre Franklin"/>
                <w:color w:val="1A204B"/>
                <w:sz w:val="16"/>
              </w:rPr>
              <w:t>NIBIN helps identify potential connections in ballistic evidence. It does not solve a case by itself, but it can give investigators information they did not have before.</w:t>
            </w:r>
          </w:p>
        </w:tc>
      </w:tr>
      <w:tr w:rsidR="00276A57" w:rsidRPr="00870A06" w14:paraId="665CA3BB" w14:textId="77777777" w:rsidTr="00B147F0">
        <w:trPr>
          <w:cantSplit/>
          <w:jc w:val="center"/>
        </w:trPr>
        <w:tc>
          <w:tcPr>
            <w:tcW w:w="555" w:type="dxa"/>
            <w:shd w:val="clear" w:color="auto" w:fill="5F2342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006E4249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21"/>
              </w:rPr>
              <w:t>2</w:t>
            </w:r>
          </w:p>
          <w:p w14:paraId="20F19F32" w14:textId="77777777" w:rsidR="00276A57" w:rsidRPr="00870A06" w:rsidRDefault="00F612EF">
            <w:pPr>
              <w:spacing w:after="0"/>
              <w:jc w:val="center"/>
              <w:rPr>
                <w:rFonts w:ascii="Libre Franklin" w:hAnsi="Libre Franklin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11"/>
              </w:rPr>
              <w:t>2 MIN</w:t>
            </w:r>
          </w:p>
        </w:tc>
        <w:tc>
          <w:tcPr>
            <w:tcW w:w="10245" w:type="dxa"/>
            <w:gridSpan w:val="3"/>
            <w:shd w:val="clear" w:color="auto" w:fill="5F2342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70750F3D" w14:textId="77777777" w:rsidR="00276A57" w:rsidRPr="00C427F7" w:rsidRDefault="00F612EF" w:rsidP="000E3D32">
            <w:pPr>
              <w:spacing w:after="0"/>
              <w:rPr>
                <w:rFonts w:ascii="Roboto" w:hAnsi="Roboto"/>
                <w:color w:val="EABE3F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EABE3F"/>
                <w:sz w:val="20"/>
                <w:szCs w:val="20"/>
              </w:rPr>
              <w:t>WHAT IS A CGIC?</w:t>
            </w:r>
          </w:p>
          <w:p w14:paraId="55D686D7" w14:textId="4CAA7401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 xml:space="preserve">A </w:t>
            </w:r>
            <w:r w:rsidR="00307F61" w:rsidRPr="00B07A8A">
              <w:rPr>
                <w:rFonts w:ascii="Libre Franklin" w:hAnsi="Libre Franklin"/>
                <w:color w:val="E8E8E8"/>
                <w:sz w:val="16"/>
              </w:rPr>
              <w:t xml:space="preserve">CGIC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brings together the people, processes, technology, and partnerships needed to turn crime gun evidence into timely investigative intelligence.</w:t>
            </w:r>
          </w:p>
          <w:p w14:paraId="21FFC8F0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NIBIN identifies a potential connection; the CGIC helps make sure that information reaches the people who can act on it.</w:t>
            </w:r>
          </w:p>
          <w:p w14:paraId="6CCC6910" w14:textId="77777777" w:rsidR="00276A57" w:rsidRPr="00B07A8A" w:rsidRDefault="00F612EF">
            <w:pPr>
              <w:spacing w:before="40" w:after="20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15"/>
              </w:rPr>
              <w:t>SAY IT THIS WAY</w:t>
            </w:r>
          </w:p>
          <w:p w14:paraId="78E78EC2" w14:textId="77777777" w:rsidR="00276A57" w:rsidRPr="00870A06" w:rsidRDefault="00F612EF">
            <w:pPr>
              <w:spacing w:after="40"/>
              <w:rPr>
                <w:rFonts w:ascii="Libre Franklin" w:hAnsi="Libre Franklin"/>
              </w:rPr>
            </w:pPr>
            <w:r w:rsidRPr="00B07A8A">
              <w:rPr>
                <w:rFonts w:ascii="Libre Franklin" w:hAnsi="Libre Franklin"/>
                <w:color w:val="E8E8E8"/>
                <w:sz w:val="16"/>
              </w:rPr>
              <w:t>Think of NIBIN as one tool inside a larger process. The CGIC connects evidence processing, NIBIN, analysis, investigators, prosecutors, and partner agencies.</w:t>
            </w:r>
          </w:p>
        </w:tc>
      </w:tr>
      <w:tr w:rsidR="00276A57" w:rsidRPr="00870A06" w14:paraId="7A0D8DA4" w14:textId="77777777" w:rsidTr="00B147F0">
        <w:trPr>
          <w:cantSplit/>
          <w:jc w:val="center"/>
        </w:trPr>
        <w:tc>
          <w:tcPr>
            <w:tcW w:w="555" w:type="dxa"/>
            <w:shd w:val="clear" w:color="auto" w:fill="E8E8E8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6ECB0693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1A4B2E"/>
              </w:rPr>
            </w:pPr>
            <w:r w:rsidRPr="00B07A8A">
              <w:rPr>
                <w:rFonts w:ascii="Libre Franklin" w:hAnsi="Libre Franklin"/>
                <w:b/>
                <w:color w:val="1A4B2E"/>
                <w:sz w:val="21"/>
              </w:rPr>
              <w:t>3</w:t>
            </w:r>
          </w:p>
          <w:p w14:paraId="7DC83381" w14:textId="77777777" w:rsidR="00276A57" w:rsidRPr="00870A06" w:rsidRDefault="00F612EF">
            <w:pPr>
              <w:spacing w:after="0"/>
              <w:jc w:val="center"/>
              <w:rPr>
                <w:rFonts w:ascii="Libre Franklin" w:hAnsi="Libre Franklin"/>
              </w:rPr>
            </w:pPr>
            <w:r w:rsidRPr="00B07A8A">
              <w:rPr>
                <w:rFonts w:ascii="Libre Franklin" w:hAnsi="Libre Franklin"/>
                <w:b/>
                <w:color w:val="1A4B2E"/>
                <w:sz w:val="11"/>
              </w:rPr>
              <w:t>3 MIN</w:t>
            </w:r>
          </w:p>
        </w:tc>
        <w:tc>
          <w:tcPr>
            <w:tcW w:w="10245" w:type="dxa"/>
            <w:gridSpan w:val="3"/>
            <w:shd w:val="clear" w:color="auto" w:fill="E8E8E8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046CD0AE" w14:textId="77777777" w:rsidR="00276A57" w:rsidRPr="00C427F7" w:rsidRDefault="00F612EF" w:rsidP="000E3D32">
            <w:pPr>
              <w:spacing w:after="0"/>
              <w:rPr>
                <w:rFonts w:ascii="Roboto" w:hAnsi="Roboto"/>
                <w:color w:val="1A4B2E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1A4B2E"/>
                <w:sz w:val="20"/>
                <w:szCs w:val="20"/>
              </w:rPr>
              <w:t>WHY PATROL MATTERS</w:t>
            </w:r>
          </w:p>
          <w:p w14:paraId="5D8E5D94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5F2342"/>
              </w:rPr>
            </w:pPr>
            <w:r w:rsidRPr="00B07A8A">
              <w:rPr>
                <w:rFonts w:ascii="Libre Franklin" w:hAnsi="Libre Franklin"/>
                <w:b/>
                <w:color w:val="1A4B2E"/>
              </w:rPr>
              <w:t xml:space="preserve">• 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The process often begins with evidence recovered by patrol.</w:t>
            </w:r>
          </w:p>
          <w:p w14:paraId="39A8E3B6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5F2342"/>
              </w:rPr>
            </w:pPr>
            <w:r w:rsidRPr="00B07A8A">
              <w:rPr>
                <w:rFonts w:ascii="Libre Franklin" w:hAnsi="Libre Franklin"/>
                <w:b/>
                <w:color w:val="1A4B2E"/>
              </w:rPr>
              <w:t xml:space="preserve">• 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Potentially useful evidence has no intelligence value if it is not recognized, preserved, documented, and submitted.</w:t>
            </w:r>
          </w:p>
          <w:p w14:paraId="1F349B01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5F2342"/>
              </w:rPr>
            </w:pPr>
            <w:r w:rsidRPr="00B07A8A">
              <w:rPr>
                <w:rFonts w:ascii="Libre Franklin" w:hAnsi="Libre Franklin"/>
                <w:b/>
                <w:color w:val="1A4B2E"/>
              </w:rPr>
              <w:t>•</w:t>
            </w:r>
            <w:r w:rsidRPr="00B07A8A">
              <w:rPr>
                <w:rFonts w:ascii="Libre Franklin" w:hAnsi="Libre Franklin"/>
                <w:b/>
                <w:color w:val="5F2342"/>
              </w:rPr>
              <w:t xml:space="preserve"> 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Complete documentation can provide context that becomes important when another incident is later associated.</w:t>
            </w:r>
          </w:p>
          <w:p w14:paraId="402B3FB1" w14:textId="77777777" w:rsidR="00276A57" w:rsidRPr="00870A06" w:rsidRDefault="00F612EF">
            <w:pPr>
              <w:spacing w:after="24"/>
              <w:rPr>
                <w:rFonts w:ascii="Libre Franklin" w:hAnsi="Libre Franklin"/>
              </w:rPr>
            </w:pPr>
            <w:r w:rsidRPr="00B07A8A">
              <w:rPr>
                <w:rFonts w:ascii="Libre Franklin" w:hAnsi="Libre Franklin"/>
                <w:b/>
                <w:color w:val="1A4B2E"/>
              </w:rPr>
              <w:t xml:space="preserve">• 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A routine firearm recovery or shots-fired call may connect to an investigation the responding officer knows nothing about</w:t>
            </w:r>
            <w:r w:rsidRPr="00870A06">
              <w:rPr>
                <w:rFonts w:ascii="Libre Franklin" w:hAnsi="Libre Franklin"/>
                <w:sz w:val="16"/>
              </w:rPr>
              <w:t>.</w:t>
            </w:r>
          </w:p>
          <w:p w14:paraId="56374A55" w14:textId="77777777" w:rsidR="00276A57" w:rsidRPr="00B07A8A" w:rsidRDefault="00F612EF">
            <w:pPr>
              <w:spacing w:before="40" w:after="20"/>
              <w:rPr>
                <w:rFonts w:ascii="Libre Franklin" w:hAnsi="Libre Franklin"/>
                <w:color w:val="1A4B2E"/>
              </w:rPr>
            </w:pPr>
            <w:r w:rsidRPr="00B07A8A">
              <w:rPr>
                <w:rFonts w:ascii="Libre Franklin" w:hAnsi="Libre Franklin"/>
                <w:b/>
                <w:color w:val="1A4B2E"/>
                <w:sz w:val="15"/>
              </w:rPr>
              <w:t>SAY IT THIS WAY</w:t>
            </w:r>
          </w:p>
          <w:p w14:paraId="222B8156" w14:textId="55EB53D9" w:rsidR="00276A57" w:rsidRPr="00870A06" w:rsidRDefault="00F612EF">
            <w:pPr>
              <w:spacing w:after="40"/>
              <w:rPr>
                <w:rFonts w:ascii="Libre Franklin" w:hAnsi="Libre Franklin"/>
              </w:rPr>
            </w:pPr>
            <w:r w:rsidRPr="00B07A8A">
              <w:rPr>
                <w:rFonts w:ascii="Libre Franklin" w:hAnsi="Libre Franklin"/>
                <w:color w:val="5F2342"/>
                <w:sz w:val="16"/>
              </w:rPr>
              <w:t xml:space="preserve">Something recovered on an ordinary call may be the piece that connects two investigations. </w:t>
            </w:r>
            <w:r w:rsidR="00870A06" w:rsidRPr="00B07A8A">
              <w:rPr>
                <w:rFonts w:ascii="Libre Franklin" w:hAnsi="Libre Franklin"/>
                <w:color w:val="5F2342"/>
                <w:sz w:val="16"/>
              </w:rPr>
              <w:t>The connection itself may not be relevant to p</w:t>
            </w:r>
            <w:r w:rsidRPr="00B07A8A">
              <w:rPr>
                <w:rFonts w:ascii="Libre Franklin" w:hAnsi="Libre Franklin"/>
                <w:color w:val="5F2342"/>
                <w:sz w:val="16"/>
              </w:rPr>
              <w:t>atrol - your job is to get the evidence into the process correctly and promptly.</w:t>
            </w:r>
          </w:p>
        </w:tc>
      </w:tr>
      <w:tr w:rsidR="00276A57" w:rsidRPr="00870A06" w14:paraId="2D8B0285" w14:textId="77777777" w:rsidTr="00B147F0">
        <w:trPr>
          <w:cantSplit/>
          <w:jc w:val="center"/>
        </w:trPr>
        <w:tc>
          <w:tcPr>
            <w:tcW w:w="555" w:type="dxa"/>
            <w:shd w:val="clear" w:color="auto" w:fill="1A204B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12465E84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21"/>
              </w:rPr>
              <w:t>4</w:t>
            </w:r>
          </w:p>
          <w:p w14:paraId="30A4A46D" w14:textId="77777777" w:rsidR="00276A57" w:rsidRPr="00B07A8A" w:rsidRDefault="00F612EF">
            <w:pPr>
              <w:spacing w:after="0"/>
              <w:jc w:val="center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11"/>
              </w:rPr>
              <w:t>2 MIN</w:t>
            </w:r>
          </w:p>
        </w:tc>
        <w:tc>
          <w:tcPr>
            <w:tcW w:w="10245" w:type="dxa"/>
            <w:gridSpan w:val="3"/>
            <w:shd w:val="clear" w:color="auto" w:fill="1A204B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3744C576" w14:textId="77777777" w:rsidR="00276A57" w:rsidRPr="00C427F7" w:rsidRDefault="00F612EF" w:rsidP="000E3D32">
            <w:pPr>
              <w:spacing w:after="0"/>
              <w:rPr>
                <w:rFonts w:ascii="Roboto" w:hAnsi="Roboto"/>
                <w:color w:val="EABE3F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EABE3F"/>
                <w:sz w:val="20"/>
                <w:szCs w:val="20"/>
              </w:rPr>
              <w:t>WHAT HAPPENS AFTER SUBMISSION?</w:t>
            </w:r>
          </w:p>
          <w:p w14:paraId="64580DDE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Eligible evidence is processed and may be entered into NIBIN.</w:t>
            </w:r>
          </w:p>
          <w:p w14:paraId="2118DADD" w14:textId="16BF3ECA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Automated comparison produces rank possible associations that trained personnel review.</w:t>
            </w:r>
          </w:p>
          <w:p w14:paraId="51910243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A potential association may generate a NIBIN lead for investigative follow-up.</w:t>
            </w:r>
          </w:p>
          <w:p w14:paraId="4310A419" w14:textId="77777777" w:rsidR="00276A57" w:rsidRPr="00B07A8A" w:rsidRDefault="00F612EF">
            <w:pPr>
              <w:spacing w:after="24"/>
              <w:rPr>
                <w:rFonts w:ascii="Libre Franklin" w:hAnsi="Libre Franklin"/>
                <w:color w:val="E8E8E8"/>
              </w:rPr>
            </w:pPr>
            <w:r w:rsidRPr="00B07A8A">
              <w:rPr>
                <w:rFonts w:ascii="Libre Franklin" w:hAnsi="Libre Franklin"/>
                <w:b/>
                <w:color w:val="EABE3F"/>
              </w:rPr>
              <w:t xml:space="preserve">• </w:t>
            </w:r>
            <w:r w:rsidRPr="00B07A8A">
              <w:rPr>
                <w:rFonts w:ascii="Libre Franklin" w:hAnsi="Libre Franklin"/>
                <w:color w:val="E8E8E8"/>
                <w:sz w:val="16"/>
              </w:rPr>
              <w:t>A NIBIN lead is investigative intelligence - not a laboratory confirmation.</w:t>
            </w:r>
          </w:p>
          <w:p w14:paraId="7074322A" w14:textId="77777777" w:rsidR="00276A57" w:rsidRPr="00B07A8A" w:rsidRDefault="00F612EF">
            <w:pPr>
              <w:spacing w:before="40" w:after="20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b/>
                <w:color w:val="EABE3F"/>
                <w:sz w:val="15"/>
              </w:rPr>
              <w:t>SAY IT THIS WAY</w:t>
            </w:r>
          </w:p>
          <w:p w14:paraId="34B5625B" w14:textId="77777777" w:rsidR="00276A57" w:rsidRPr="00B07A8A" w:rsidRDefault="00F612EF">
            <w:pPr>
              <w:spacing w:after="40"/>
              <w:rPr>
                <w:rFonts w:ascii="Libre Franklin" w:hAnsi="Libre Franklin"/>
                <w:color w:val="EABE3F"/>
              </w:rPr>
            </w:pPr>
            <w:r w:rsidRPr="00B07A8A">
              <w:rPr>
                <w:rFonts w:ascii="Libre Franklin" w:hAnsi="Libre Franklin"/>
                <w:color w:val="E8E8E8"/>
                <w:sz w:val="16"/>
              </w:rPr>
              <w:t xml:space="preserve">Evidence moves from collection to processing, NIBIN comparison, lead review, and investigative follow-up. The faster those handoffs </w:t>
            </w:r>
            <w:proofErr w:type="gramStart"/>
            <w:r w:rsidRPr="00B07A8A">
              <w:rPr>
                <w:rFonts w:ascii="Libre Franklin" w:hAnsi="Libre Franklin"/>
                <w:color w:val="E8E8E8"/>
                <w:sz w:val="16"/>
              </w:rPr>
              <w:t>occur,</w:t>
            </w:r>
            <w:proofErr w:type="gramEnd"/>
            <w:r w:rsidRPr="00B07A8A">
              <w:rPr>
                <w:rFonts w:ascii="Libre Franklin" w:hAnsi="Libre Franklin"/>
                <w:color w:val="E8E8E8"/>
                <w:sz w:val="16"/>
              </w:rPr>
              <w:t xml:space="preserve"> the sooner potentially useful information can reach investigators.</w:t>
            </w:r>
          </w:p>
        </w:tc>
      </w:tr>
      <w:tr w:rsidR="004767E0" w:rsidRPr="00B07A8A" w14:paraId="591B7F57" w14:textId="4FAB81E1" w:rsidTr="00B147F0">
        <w:trPr>
          <w:cantSplit/>
          <w:jc w:val="center"/>
        </w:trPr>
        <w:tc>
          <w:tcPr>
            <w:tcW w:w="610" w:type="dxa"/>
            <w:gridSpan w:val="2"/>
            <w:shd w:val="clear" w:color="auto" w:fill="1A4B2E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2B445669" w14:textId="67BDA0D0" w:rsidR="004767E0" w:rsidRPr="004767E0" w:rsidRDefault="004767E0" w:rsidP="004767E0">
            <w:pPr>
              <w:spacing w:after="0"/>
              <w:ind w:left="-368" w:right="-387"/>
              <w:jc w:val="center"/>
              <w:rPr>
                <w:rFonts w:ascii="Libre Franklin" w:hAnsi="Libre Franklin"/>
                <w:color w:val="EABE3F"/>
              </w:rPr>
            </w:pPr>
            <w:r w:rsidRPr="004767E0">
              <w:rPr>
                <w:rFonts w:ascii="Libre Franklin" w:hAnsi="Libre Franklin"/>
                <w:b/>
                <w:color w:val="EABE3F"/>
                <w:sz w:val="21"/>
              </w:rPr>
              <w:t>5</w:t>
            </w:r>
          </w:p>
          <w:p w14:paraId="77B3BC87" w14:textId="11DB4E14" w:rsidR="004767E0" w:rsidRPr="004767E0" w:rsidRDefault="004767E0" w:rsidP="004767E0">
            <w:pPr>
              <w:spacing w:after="0"/>
              <w:ind w:left="-368" w:right="-387"/>
              <w:jc w:val="center"/>
              <w:rPr>
                <w:rFonts w:ascii="Libre Franklin" w:hAnsi="Libre Franklin"/>
                <w:color w:val="1A4B2E"/>
              </w:rPr>
            </w:pPr>
            <w:r w:rsidRPr="004767E0">
              <w:rPr>
                <w:rFonts w:ascii="Libre Franklin" w:hAnsi="Libre Franklin"/>
                <w:b/>
                <w:color w:val="EABE3F"/>
                <w:sz w:val="11"/>
              </w:rPr>
              <w:t>3</w:t>
            </w:r>
            <w:r w:rsidRPr="004767E0">
              <w:rPr>
                <w:rFonts w:ascii="Libre Franklin" w:hAnsi="Libre Franklin"/>
                <w:b/>
                <w:color w:val="EABE3F"/>
                <w:sz w:val="11"/>
              </w:rPr>
              <w:t>MIN</w:t>
            </w:r>
          </w:p>
        </w:tc>
        <w:tc>
          <w:tcPr>
            <w:tcW w:w="4590" w:type="dxa"/>
            <w:shd w:val="clear" w:color="auto" w:fill="1A4B2E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39BF4066" w14:textId="77777777" w:rsidR="004767E0" w:rsidRPr="00C427F7" w:rsidRDefault="004767E0" w:rsidP="000E3D32">
            <w:pPr>
              <w:spacing w:after="0"/>
              <w:ind w:left="-234" w:right="134" w:firstLine="234"/>
              <w:rPr>
                <w:rFonts w:ascii="Libre Franklin" w:hAnsi="Libre Franklin"/>
                <w:b/>
                <w:color w:val="EABE3F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EABE3F"/>
                <w:sz w:val="20"/>
                <w:szCs w:val="20"/>
              </w:rPr>
              <w:t>YOUR AGENCY'S PROCEDURES</w:t>
            </w:r>
            <w:r w:rsidRPr="00C427F7">
              <w:rPr>
                <w:rFonts w:ascii="Libre Franklin" w:hAnsi="Libre Franklin"/>
                <w:b/>
                <w:color w:val="EABE3F"/>
                <w:sz w:val="20"/>
                <w:szCs w:val="20"/>
              </w:rPr>
              <w:t xml:space="preserve"> </w:t>
            </w:r>
          </w:p>
          <w:p w14:paraId="74F474F3" w14:textId="369C62A3" w:rsidR="004767E0" w:rsidRPr="004767E0" w:rsidRDefault="004767E0" w:rsidP="004767E0">
            <w:pPr>
              <w:spacing w:after="40"/>
              <w:ind w:left="-16" w:right="134"/>
              <w:rPr>
                <w:rFonts w:ascii="Libre Franklin" w:hAnsi="Libre Franklin"/>
                <w:color w:val="E8E8E8"/>
              </w:rPr>
            </w:pPr>
            <w:r w:rsidRPr="004767E0">
              <w:rPr>
                <w:rFonts w:ascii="Libre Franklin" w:hAnsi="Libre Franklin"/>
                <w:b/>
                <w:color w:val="EABE3F"/>
              </w:rPr>
              <w:t xml:space="preserve"> </w:t>
            </w: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 xml:space="preserve"> [WHAT EVIDENCE SHOULD OFFICERS SUBMIT?]</w:t>
            </w:r>
          </w:p>
          <w:p w14:paraId="613783EA" w14:textId="2880E88C" w:rsidR="004767E0" w:rsidRPr="004767E0" w:rsidRDefault="004767E0" w:rsidP="004767E0">
            <w:pPr>
              <w:spacing w:after="40"/>
              <w:ind w:left="-234" w:right="134" w:firstLine="234"/>
              <w:rPr>
                <w:rFonts w:ascii="Libre Franklin" w:hAnsi="Libre Franklin"/>
                <w:color w:val="E8E8E8"/>
              </w:rPr>
            </w:pP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ABE3F"/>
                <w:sz w:val="16"/>
              </w:rPr>
              <w:t xml:space="preserve"> 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>[HOW/WHERE SHOULD IT BE SUBMITTED?]</w:t>
            </w:r>
          </w:p>
          <w:p w14:paraId="06572B0F" w14:textId="5DA38025" w:rsidR="004767E0" w:rsidRPr="004767E0" w:rsidRDefault="004767E0" w:rsidP="004767E0">
            <w:pPr>
              <w:spacing w:before="40" w:after="20"/>
              <w:ind w:left="-234" w:right="134" w:firstLine="234"/>
              <w:rPr>
                <w:rFonts w:ascii="Libre Franklin" w:hAnsi="Libre Franklin"/>
                <w:color w:val="EABE3F"/>
                <w:sz w:val="16"/>
              </w:rPr>
            </w:pP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ABE3F"/>
                <w:sz w:val="16"/>
              </w:rPr>
              <w:t xml:space="preserve"> 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>[PACKAGING/IMPOUND REQUIREMENTS?]</w:t>
            </w:r>
          </w:p>
        </w:tc>
        <w:tc>
          <w:tcPr>
            <w:tcW w:w="5600" w:type="dxa"/>
            <w:shd w:val="clear" w:color="auto" w:fill="1A4B2E"/>
          </w:tcPr>
          <w:p w14:paraId="69E3DBF7" w14:textId="77777777" w:rsidR="004767E0" w:rsidRDefault="004767E0" w:rsidP="004767E0">
            <w:pPr>
              <w:spacing w:after="40"/>
              <w:ind w:left="-234" w:right="134" w:firstLine="234"/>
              <w:rPr>
                <w:rFonts w:ascii="Segoe UI Symbol" w:hAnsi="Segoe UI Symbol" w:cs="Segoe UI Symbol"/>
                <w:color w:val="EABE3F"/>
                <w:sz w:val="16"/>
              </w:rPr>
            </w:pPr>
          </w:p>
          <w:p w14:paraId="32DABC95" w14:textId="026EA606" w:rsidR="004767E0" w:rsidRPr="004767E0" w:rsidRDefault="004767E0" w:rsidP="004767E0">
            <w:pPr>
              <w:spacing w:after="40"/>
              <w:ind w:left="-234" w:right="134" w:firstLine="234"/>
              <w:rPr>
                <w:rFonts w:ascii="Libre Franklin" w:hAnsi="Libre Franklin"/>
                <w:color w:val="E8E8E8"/>
              </w:rPr>
            </w:pP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ABE3F"/>
                <w:sz w:val="16"/>
              </w:rPr>
              <w:t xml:space="preserve"> 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>[URGENT OR AFTER-HOURS PROCEDURE?]</w:t>
            </w:r>
          </w:p>
          <w:p w14:paraId="0C817912" w14:textId="77777777" w:rsidR="004767E0" w:rsidRPr="004767E0" w:rsidRDefault="004767E0" w:rsidP="004767E0">
            <w:pPr>
              <w:spacing w:after="40"/>
              <w:ind w:left="-234" w:right="134" w:firstLine="234"/>
              <w:rPr>
                <w:rFonts w:ascii="Libre Franklin" w:hAnsi="Libre Franklin"/>
                <w:color w:val="E8E8E8"/>
              </w:rPr>
            </w:pP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ABE3F"/>
                <w:sz w:val="16"/>
              </w:rPr>
              <w:t xml:space="preserve"> 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>[WHO RECEIVES/FOLLOWS UP ON LEADS?]</w:t>
            </w:r>
          </w:p>
          <w:p w14:paraId="01A284FC" w14:textId="5E0E7251" w:rsidR="004767E0" w:rsidRPr="004767E0" w:rsidRDefault="004767E0" w:rsidP="004767E0">
            <w:pPr>
              <w:spacing w:after="24"/>
              <w:ind w:left="-234" w:right="134" w:firstLine="234"/>
              <w:rPr>
                <w:rFonts w:ascii="Roboto" w:hAnsi="Roboto"/>
                <w:b/>
                <w:color w:val="EABE3F"/>
                <w:sz w:val="22"/>
              </w:rPr>
            </w:pPr>
            <w:r w:rsidRPr="004767E0">
              <w:rPr>
                <w:rFonts w:ascii="Segoe UI Symbol" w:hAnsi="Segoe UI Symbol" w:cs="Segoe UI Symbol"/>
                <w:color w:val="EABE3F"/>
                <w:sz w:val="16"/>
              </w:rPr>
              <w:t>☐</w:t>
            </w:r>
            <w:r w:rsidRPr="004767E0">
              <w:rPr>
                <w:rFonts w:ascii="Libre Franklin" w:hAnsi="Libre Franklin"/>
                <w:color w:val="EABE3F"/>
                <w:sz w:val="16"/>
              </w:rPr>
              <w:t xml:space="preserve"> [</w:t>
            </w:r>
            <w:r w:rsidRPr="004767E0">
              <w:rPr>
                <w:rFonts w:ascii="Libre Franklin" w:hAnsi="Libre Franklin"/>
                <w:color w:val="E8E8E8"/>
                <w:sz w:val="16"/>
              </w:rPr>
              <w:t>LOCAL CONTACT/RESOURCE LINK?]</w:t>
            </w:r>
          </w:p>
        </w:tc>
      </w:tr>
      <w:tr w:rsidR="004767E0" w:rsidRPr="00B07A8A" w14:paraId="3B5A5DA3" w14:textId="77777777" w:rsidTr="00C427F7">
        <w:trPr>
          <w:cantSplit/>
          <w:jc w:val="center"/>
        </w:trPr>
        <w:tc>
          <w:tcPr>
            <w:tcW w:w="555" w:type="dxa"/>
            <w:shd w:val="clear" w:color="auto" w:fill="EABE3F"/>
            <w:tcMar>
              <w:top w:w="35" w:type="dxa"/>
              <w:left w:w="12" w:type="dxa"/>
              <w:bottom w:w="35" w:type="dxa"/>
              <w:right w:w="12" w:type="dxa"/>
            </w:tcMar>
            <w:vAlign w:val="center"/>
          </w:tcPr>
          <w:p w14:paraId="053F604B" w14:textId="7490A35B" w:rsidR="004767E0" w:rsidRPr="00F82985" w:rsidRDefault="004767E0" w:rsidP="00B147F0">
            <w:pPr>
              <w:spacing w:after="0"/>
              <w:jc w:val="center"/>
              <w:rPr>
                <w:rFonts w:ascii="Libre Franklin" w:hAnsi="Libre Franklin"/>
                <w:color w:val="1A204B"/>
              </w:rPr>
            </w:pPr>
            <w:r w:rsidRPr="00F82985">
              <w:rPr>
                <w:rFonts w:ascii="Libre Franklin" w:hAnsi="Libre Franklin"/>
                <w:b/>
                <w:color w:val="1A204B"/>
                <w:sz w:val="21"/>
              </w:rPr>
              <w:t>6</w:t>
            </w:r>
          </w:p>
          <w:p w14:paraId="6B5DDC42" w14:textId="37BBB012" w:rsidR="004767E0" w:rsidRPr="004767E0" w:rsidRDefault="004767E0" w:rsidP="00B147F0">
            <w:pPr>
              <w:spacing w:after="0"/>
              <w:jc w:val="center"/>
              <w:rPr>
                <w:rFonts w:ascii="Libre Franklin" w:hAnsi="Libre Franklin"/>
                <w:color w:val="1A204B"/>
              </w:rPr>
            </w:pPr>
            <w:r w:rsidRPr="00F82985">
              <w:rPr>
                <w:rFonts w:ascii="Libre Franklin" w:hAnsi="Libre Franklin"/>
                <w:b/>
                <w:color w:val="1A204B"/>
                <w:sz w:val="11"/>
              </w:rPr>
              <w:t xml:space="preserve">1 </w:t>
            </w:r>
            <w:r w:rsidRPr="00F82985">
              <w:rPr>
                <w:rFonts w:ascii="Libre Franklin" w:hAnsi="Libre Franklin"/>
                <w:b/>
                <w:color w:val="1A204B"/>
                <w:sz w:val="11"/>
              </w:rPr>
              <w:t>MIN</w:t>
            </w:r>
          </w:p>
        </w:tc>
        <w:tc>
          <w:tcPr>
            <w:tcW w:w="10245" w:type="dxa"/>
            <w:gridSpan w:val="3"/>
            <w:shd w:val="clear" w:color="auto" w:fill="EABE3F"/>
            <w:tcMar>
              <w:top w:w="70" w:type="dxa"/>
              <w:left w:w="105" w:type="dxa"/>
              <w:bottom w:w="65" w:type="dxa"/>
              <w:right w:w="105" w:type="dxa"/>
            </w:tcMar>
          </w:tcPr>
          <w:p w14:paraId="0AD7C6F7" w14:textId="4D11852C" w:rsidR="004767E0" w:rsidRPr="00C427F7" w:rsidRDefault="004767E0" w:rsidP="00B147F0">
            <w:pPr>
              <w:spacing w:after="0"/>
              <w:rPr>
                <w:rFonts w:ascii="Roboto" w:hAnsi="Roboto"/>
                <w:b/>
                <w:color w:val="1A204B"/>
                <w:sz w:val="20"/>
                <w:szCs w:val="20"/>
              </w:rPr>
            </w:pPr>
            <w:r w:rsidRPr="00C427F7">
              <w:rPr>
                <w:rFonts w:ascii="Roboto" w:hAnsi="Roboto"/>
                <w:b/>
                <w:color w:val="1A204B"/>
                <w:sz w:val="20"/>
                <w:szCs w:val="20"/>
              </w:rPr>
              <w:t>CLOSE</w:t>
            </w:r>
          </w:p>
          <w:p w14:paraId="40F969BD" w14:textId="4DD6462C" w:rsidR="004767E0" w:rsidRPr="004767E0" w:rsidRDefault="004767E0" w:rsidP="00B147F0">
            <w:pPr>
              <w:spacing w:after="0"/>
              <w:rPr>
                <w:rFonts w:ascii="Libre Franklin" w:hAnsi="Libre Franklin"/>
                <w:color w:val="1A204B"/>
              </w:rPr>
            </w:pPr>
            <w:r w:rsidRPr="00F82985">
              <w:rPr>
                <w:rFonts w:ascii="Libre Franklin" w:hAnsi="Libre Franklin"/>
                <w:b/>
                <w:color w:val="1A4B2E"/>
                <w:sz w:val="16"/>
              </w:rPr>
              <w:t>THE TAKEAWAY</w:t>
            </w:r>
            <w:r w:rsidR="00F82985" w:rsidRPr="00F82985">
              <w:rPr>
                <w:rFonts w:ascii="Libre Franklin" w:hAnsi="Libre Franklin"/>
                <w:b/>
                <w:color w:val="1A4B2E"/>
                <w:sz w:val="16"/>
              </w:rPr>
              <w:t xml:space="preserve">: </w:t>
            </w:r>
            <w:r w:rsidRPr="00F82985">
              <w:rPr>
                <w:rFonts w:ascii="Libre Franklin" w:hAnsi="Libre Franklin"/>
                <w:color w:val="5F2342"/>
                <w:sz w:val="16"/>
              </w:rPr>
              <w:t xml:space="preserve">Something you recover on what appears to be a routine call may connect to a shooting or investigation you know nothing about. NIBIN can identify that potential connection, but only if the evidence gets into the process. </w:t>
            </w:r>
            <w:r w:rsidRPr="00F82985">
              <w:rPr>
                <w:rFonts w:ascii="Libre Franklin" w:hAnsi="Libre Franklin"/>
                <w:b/>
                <w:color w:val="1A4B2E"/>
                <w:sz w:val="16"/>
              </w:rPr>
              <w:t>Patrol starts that process.</w:t>
            </w:r>
          </w:p>
        </w:tc>
      </w:tr>
    </w:tbl>
    <w:p w14:paraId="0BE99B21" w14:textId="77777777" w:rsidR="00C427F7" w:rsidRPr="00C427F7" w:rsidRDefault="00C427F7" w:rsidP="000E3D32">
      <w:pPr>
        <w:spacing w:after="0"/>
        <w:rPr>
          <w:rFonts w:ascii="Roboto" w:hAnsi="Roboto"/>
          <w:color w:val="1A204B"/>
          <w:sz w:val="20"/>
          <w:szCs w:val="20"/>
        </w:rPr>
      </w:pPr>
      <w:r w:rsidRPr="00C427F7">
        <w:rPr>
          <w:rFonts w:ascii="Roboto" w:hAnsi="Roboto"/>
          <w:b/>
          <w:color w:val="1A204B"/>
          <w:sz w:val="20"/>
          <w:szCs w:val="20"/>
        </w:rPr>
        <w:t>IF YOU HAVE 5 MORE MINUTES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276A57" w:rsidRPr="00870A06" w14:paraId="7D9C6A16" w14:textId="77777777" w:rsidTr="00F82985">
        <w:trPr>
          <w:cantSplit/>
        </w:trPr>
        <w:tc>
          <w:tcPr>
            <w:tcW w:w="2700" w:type="dxa"/>
            <w:shd w:val="clear" w:color="auto" w:fill="E8E8E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723F99" w14:textId="77777777" w:rsidR="00276A57" w:rsidRPr="00870A06" w:rsidRDefault="00F612EF" w:rsidP="00B147F0">
            <w:pPr>
              <w:spacing w:after="0"/>
              <w:jc w:val="center"/>
              <w:rPr>
                <w:rFonts w:ascii="Libre Franklin" w:hAnsi="Libre Franklin"/>
              </w:rPr>
            </w:pPr>
            <w:r w:rsidRPr="00F82985">
              <w:rPr>
                <w:rFonts w:ascii="Libre Franklin" w:hAnsi="Libre Franklin"/>
                <w:b/>
                <w:color w:val="1A204B"/>
                <w:sz w:val="15"/>
              </w:rPr>
              <w:t>SHOW</w:t>
            </w:r>
            <w:r w:rsidRPr="00F82985">
              <w:rPr>
                <w:rFonts w:ascii="Libre Franklin" w:hAnsi="Libre Franklin"/>
                <w:b/>
                <w:color w:val="1A204B"/>
                <w:sz w:val="15"/>
              </w:rPr>
              <w:br/>
            </w:r>
            <w:r w:rsidRPr="00F82985">
              <w:rPr>
                <w:rFonts w:ascii="Libre Franklin" w:hAnsi="Libre Franklin"/>
                <w:color w:val="5F2342"/>
                <w:sz w:val="14"/>
              </w:rPr>
              <w:t>a local NIBIN success story</w:t>
            </w:r>
          </w:p>
        </w:tc>
        <w:tc>
          <w:tcPr>
            <w:tcW w:w="2700" w:type="dxa"/>
            <w:shd w:val="clear" w:color="auto" w:fill="5F234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FEBA15" w14:textId="648711D6" w:rsidR="00276A57" w:rsidRPr="00870A06" w:rsidRDefault="00F612EF" w:rsidP="00B147F0">
            <w:pPr>
              <w:spacing w:after="0"/>
              <w:jc w:val="center"/>
              <w:rPr>
                <w:rFonts w:ascii="Libre Franklin" w:hAnsi="Libre Franklin"/>
              </w:rPr>
            </w:pPr>
            <w:r w:rsidRPr="00F82985">
              <w:rPr>
                <w:rFonts w:ascii="Libre Franklin" w:hAnsi="Libre Franklin"/>
                <w:b/>
                <w:color w:val="E8E8E8"/>
                <w:sz w:val="15"/>
              </w:rPr>
              <w:t>DISPLAY</w:t>
            </w:r>
            <w:r w:rsidRPr="00F82985">
              <w:rPr>
                <w:rFonts w:ascii="Libre Franklin" w:hAnsi="Libre Franklin"/>
                <w:b/>
                <w:color w:val="EABE3F"/>
                <w:sz w:val="15"/>
              </w:rPr>
              <w:br/>
            </w:r>
            <w:r w:rsidRPr="00F82985">
              <w:rPr>
                <w:rFonts w:ascii="Libre Franklin" w:hAnsi="Libre Franklin"/>
                <w:color w:val="EABE3F"/>
                <w:sz w:val="14"/>
              </w:rPr>
              <w:t>an actual acquisition/correlation image</w:t>
            </w:r>
          </w:p>
        </w:tc>
        <w:tc>
          <w:tcPr>
            <w:tcW w:w="2700" w:type="dxa"/>
            <w:shd w:val="clear" w:color="auto" w:fill="1A4B2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3587E1" w14:textId="77777777" w:rsidR="00276A57" w:rsidRPr="00870A06" w:rsidRDefault="00F612EF" w:rsidP="00B147F0">
            <w:pPr>
              <w:spacing w:after="0"/>
              <w:jc w:val="center"/>
              <w:rPr>
                <w:rFonts w:ascii="Libre Franklin" w:hAnsi="Libre Franklin"/>
              </w:rPr>
            </w:pPr>
            <w:r w:rsidRPr="00F82985">
              <w:rPr>
                <w:rFonts w:ascii="Libre Franklin" w:hAnsi="Libre Franklin"/>
                <w:b/>
                <w:color w:val="EABE3F"/>
                <w:sz w:val="15"/>
              </w:rPr>
              <w:t>WALK THROUGH</w:t>
            </w:r>
            <w:r w:rsidRPr="00F82985">
              <w:rPr>
                <w:rFonts w:ascii="Libre Franklin" w:hAnsi="Libre Franklin"/>
                <w:b/>
                <w:color w:val="E8E8E8"/>
                <w:sz w:val="15"/>
              </w:rPr>
              <w:br/>
            </w:r>
            <w:r w:rsidRPr="00F82985">
              <w:rPr>
                <w:rFonts w:ascii="Libre Franklin" w:hAnsi="Libre Franklin"/>
                <w:color w:val="E8E8E8"/>
                <w:sz w:val="14"/>
              </w:rPr>
              <w:t>a recent local example</w:t>
            </w:r>
          </w:p>
        </w:tc>
        <w:tc>
          <w:tcPr>
            <w:tcW w:w="2700" w:type="dxa"/>
            <w:shd w:val="clear" w:color="auto" w:fill="1A204B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AA8AD1" w14:textId="77777777" w:rsidR="00276A57" w:rsidRPr="00870A06" w:rsidRDefault="00F612EF" w:rsidP="00B147F0">
            <w:pPr>
              <w:spacing w:after="0"/>
              <w:jc w:val="center"/>
              <w:rPr>
                <w:rFonts w:ascii="Libre Franklin" w:hAnsi="Libre Franklin"/>
              </w:rPr>
            </w:pPr>
            <w:r w:rsidRPr="00F82985">
              <w:rPr>
                <w:rFonts w:ascii="Libre Franklin" w:hAnsi="Libre Franklin"/>
                <w:b/>
                <w:color w:val="E8E8E8"/>
                <w:sz w:val="15"/>
              </w:rPr>
              <w:t>ASK</w:t>
            </w:r>
            <w:r w:rsidRPr="00F82985">
              <w:rPr>
                <w:rFonts w:ascii="Libre Franklin" w:hAnsi="Libre Franklin"/>
                <w:b/>
                <w:color w:val="E8E8E8"/>
                <w:sz w:val="15"/>
              </w:rPr>
              <w:br/>
            </w:r>
            <w:r w:rsidRPr="00F82985">
              <w:rPr>
                <w:rFonts w:ascii="Libre Franklin" w:hAnsi="Libre Franklin"/>
                <w:color w:val="EABE3F"/>
                <w:sz w:val="14"/>
              </w:rPr>
              <w:t>what barriers officers encounter</w:t>
            </w:r>
          </w:p>
        </w:tc>
      </w:tr>
    </w:tbl>
    <w:p w14:paraId="225B0BC7" w14:textId="77777777" w:rsidR="00C427F7" w:rsidRPr="00870A06" w:rsidRDefault="00C427F7" w:rsidP="000E3D32">
      <w:pPr>
        <w:rPr>
          <w:rFonts w:ascii="Libre Franklin" w:hAnsi="Libre Franklin"/>
        </w:rPr>
      </w:pPr>
    </w:p>
    <w:sectPr w:rsidR="00C427F7" w:rsidRPr="00870A06" w:rsidSect="00870A06">
      <w:footerReference w:type="default" r:id="rId8"/>
      <w:headerReference w:type="first" r:id="rId9"/>
      <w:footerReference w:type="first" r:id="rId10"/>
      <w:pgSz w:w="12240" w:h="15840"/>
      <w:pgMar w:top="547" w:right="720" w:bottom="54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B63BD" w14:textId="77777777" w:rsidR="008005C7" w:rsidRDefault="008005C7">
      <w:pPr>
        <w:spacing w:after="0" w:line="240" w:lineRule="auto"/>
      </w:pPr>
      <w:r>
        <w:separator/>
      </w:r>
    </w:p>
  </w:endnote>
  <w:endnote w:type="continuationSeparator" w:id="0">
    <w:p w14:paraId="6AB036A7" w14:textId="77777777" w:rsidR="008005C7" w:rsidRDefault="008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C8D467" w14:textId="77777777" w:rsidR="00276A57" w:rsidRDefault="00F612EF">
    <w:pPr>
      <w:pStyle w:val="Footer"/>
      <w:jc w:val="center"/>
    </w:pPr>
    <w:r>
      <w:rPr>
        <w:color w:val="687681"/>
        <w:sz w:val="14"/>
      </w:rPr>
      <w:t xml:space="preserve">[CGIC/NIBIN PROGRAM </w:t>
    </w:r>
    <w:proofErr w:type="gramStart"/>
    <w:r>
      <w:rPr>
        <w:color w:val="687681"/>
        <w:sz w:val="14"/>
      </w:rPr>
      <w:t>NAME]  |</w:t>
    </w:r>
    <w:proofErr w:type="gramEnd"/>
    <w:r>
      <w:rPr>
        <w:color w:val="687681"/>
        <w:sz w:val="14"/>
      </w:rPr>
      <w:t xml:space="preserve">  [LOCAL </w:t>
    </w:r>
    <w:proofErr w:type="gramStart"/>
    <w:r>
      <w:rPr>
        <w:color w:val="687681"/>
        <w:sz w:val="14"/>
      </w:rPr>
      <w:t>CONTACT]  |</w:t>
    </w:r>
    <w:proofErr w:type="gramEnd"/>
    <w:r>
      <w:rPr>
        <w:color w:val="687681"/>
        <w:sz w:val="14"/>
      </w:rPr>
      <w:t xml:space="preserve">  [LOCAL PROCEDURE / RESOURCE LINK]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72925" w14:textId="3E047835" w:rsidR="000E3D32" w:rsidRPr="001D478B" w:rsidRDefault="000E3D32" w:rsidP="000E3D32">
    <w:pPr>
      <w:pStyle w:val="Footer"/>
      <w:jc w:val="center"/>
      <w:rPr>
        <w:rFonts w:ascii="Libre Franklin" w:hAnsi="Libre Franklin"/>
        <w:color w:val="1A204B"/>
        <w:sz w:val="18"/>
        <w:szCs w:val="18"/>
      </w:rPr>
    </w:pPr>
    <w:r w:rsidRPr="001D478B">
      <w:rPr>
        <w:rFonts w:ascii="Libre Franklin" w:hAnsi="Libre Franklin"/>
        <w:color w:val="1A204B"/>
        <w:sz w:val="18"/>
        <w:szCs w:val="18"/>
      </w:rPr>
      <w:t>[CGIC/NIBIN PROGRAM NAME] | [</w:t>
    </w:r>
    <w:r>
      <w:rPr>
        <w:rFonts w:ascii="Libre Franklin" w:hAnsi="Libre Franklin"/>
        <w:color w:val="1A204B"/>
        <w:sz w:val="18"/>
        <w:szCs w:val="18"/>
      </w:rPr>
      <w:t>LOCAL</w:t>
    </w:r>
    <w:r w:rsidRPr="001D478B">
      <w:rPr>
        <w:rFonts w:ascii="Libre Franklin" w:hAnsi="Libre Franklin"/>
        <w:color w:val="1A204B"/>
        <w:sz w:val="18"/>
        <w:szCs w:val="18"/>
      </w:rPr>
      <w:t xml:space="preserve"> CONTACT] | [</w:t>
    </w:r>
    <w:r>
      <w:rPr>
        <w:rFonts w:ascii="Libre Franklin" w:hAnsi="Libre Franklin"/>
        <w:color w:val="1A204B"/>
        <w:sz w:val="18"/>
        <w:szCs w:val="18"/>
      </w:rPr>
      <w:t xml:space="preserve">LOCAL </w:t>
    </w:r>
    <w:r w:rsidRPr="001D478B">
      <w:rPr>
        <w:rFonts w:ascii="Libre Franklin" w:hAnsi="Libre Franklin"/>
        <w:color w:val="1A204B"/>
        <w:sz w:val="18"/>
        <w:szCs w:val="18"/>
      </w:rPr>
      <w:t>PROCEDURE</w:t>
    </w:r>
    <w:r>
      <w:rPr>
        <w:rFonts w:ascii="Libre Franklin" w:hAnsi="Libre Franklin"/>
        <w:color w:val="1A204B"/>
        <w:sz w:val="18"/>
        <w:szCs w:val="18"/>
      </w:rPr>
      <w:t xml:space="preserve"> / </w:t>
    </w:r>
    <w:r w:rsidRPr="001D478B">
      <w:rPr>
        <w:rFonts w:ascii="Libre Franklin" w:hAnsi="Libre Franklin"/>
        <w:color w:val="1A204B"/>
        <w:sz w:val="18"/>
        <w:szCs w:val="18"/>
      </w:rPr>
      <w:t>RESOURCE LINK]</w:t>
    </w:r>
    <w:r w:rsidRPr="001D478B">
      <w:rPr>
        <w:rFonts w:ascii="Libre Franklin" w:hAnsi="Libre Franklin"/>
        <w:color w:val="1A204B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B0EA62" w14:textId="77777777" w:rsidR="008005C7" w:rsidRDefault="008005C7">
      <w:pPr>
        <w:spacing w:after="0" w:line="240" w:lineRule="auto"/>
      </w:pPr>
      <w:r>
        <w:separator/>
      </w:r>
    </w:p>
  </w:footnote>
  <w:footnote w:type="continuationSeparator" w:id="0">
    <w:p w14:paraId="1C4626E5" w14:textId="77777777" w:rsidR="008005C7" w:rsidRDefault="008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8A1662" w14:textId="2766759F" w:rsidR="00870A06" w:rsidRDefault="00870A06">
    <w:pPr>
      <w:pStyle w:val="Header"/>
    </w:pPr>
    <w:r>
      <w:rPr>
        <w:noProof/>
      </w:rPr>
      <w:drawing>
        <wp:inline distT="0" distB="0" distL="0" distR="0" wp14:anchorId="20BB2191" wp14:editId="4603891F">
          <wp:extent cx="2923953" cy="458842"/>
          <wp:effectExtent l="0" t="0" r="0" b="0"/>
          <wp:docPr id="929168011" name="Picture 1" descr="Crime Gun Intelligence Centers: Connecting the Do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8011" name="Picture 1" descr="Crime Gun Intelligence Centers: Connecting the Dots Logo"/>
                  <pic:cNvPicPr/>
                </pic:nvPicPr>
                <pic:blipFill rotWithShape="1">
                  <a:blip r:embed="rId1"/>
                  <a:srcRect b="26696"/>
                  <a:stretch>
                    <a:fillRect/>
                  </a:stretch>
                </pic:blipFill>
                <pic:spPr bwMode="auto">
                  <a:xfrm>
                    <a:off x="0" y="0"/>
                    <a:ext cx="4070026" cy="638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513692">
    <w:abstractNumId w:val="8"/>
  </w:num>
  <w:num w:numId="2" w16cid:durableId="1331181864">
    <w:abstractNumId w:val="6"/>
  </w:num>
  <w:num w:numId="3" w16cid:durableId="1518034162">
    <w:abstractNumId w:val="5"/>
  </w:num>
  <w:num w:numId="4" w16cid:durableId="37820491">
    <w:abstractNumId w:val="4"/>
  </w:num>
  <w:num w:numId="5" w16cid:durableId="136533031">
    <w:abstractNumId w:val="7"/>
  </w:num>
  <w:num w:numId="6" w16cid:durableId="1447308175">
    <w:abstractNumId w:val="3"/>
  </w:num>
  <w:num w:numId="7" w16cid:durableId="1432118450">
    <w:abstractNumId w:val="2"/>
  </w:num>
  <w:num w:numId="8" w16cid:durableId="2066635364">
    <w:abstractNumId w:val="1"/>
  </w:num>
  <w:num w:numId="9" w16cid:durableId="1672679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D32"/>
    <w:rsid w:val="0015074B"/>
    <w:rsid w:val="001F6E54"/>
    <w:rsid w:val="00276A57"/>
    <w:rsid w:val="0029639D"/>
    <w:rsid w:val="00307F61"/>
    <w:rsid w:val="00326F90"/>
    <w:rsid w:val="003F515E"/>
    <w:rsid w:val="004767E0"/>
    <w:rsid w:val="004A5848"/>
    <w:rsid w:val="005373F9"/>
    <w:rsid w:val="00592D39"/>
    <w:rsid w:val="005F65A6"/>
    <w:rsid w:val="00747F9F"/>
    <w:rsid w:val="008005C7"/>
    <w:rsid w:val="00870A06"/>
    <w:rsid w:val="009A35BD"/>
    <w:rsid w:val="00A90EF1"/>
    <w:rsid w:val="00AA1D8D"/>
    <w:rsid w:val="00B07A8A"/>
    <w:rsid w:val="00B147F0"/>
    <w:rsid w:val="00B47730"/>
    <w:rsid w:val="00B65B3C"/>
    <w:rsid w:val="00B739EE"/>
    <w:rsid w:val="00BD61F0"/>
    <w:rsid w:val="00C427F7"/>
    <w:rsid w:val="00C54D72"/>
    <w:rsid w:val="00CB0664"/>
    <w:rsid w:val="00EE6327"/>
    <w:rsid w:val="00F3137E"/>
    <w:rsid w:val="00F612EF"/>
    <w:rsid w:val="00F618F0"/>
    <w:rsid w:val="00F829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4B4BCA"/>
  <w14:defaultImageDpi w14:val="300"/>
  <w15:docId w15:val="{8D17FE5C-551D-E14D-9F99-C7A7EF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7313A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6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5A6"/>
    <w:rPr>
      <w:rFonts w:ascii="Aptos" w:hAnsi="Aptos"/>
      <w:color w:val="27313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5A6"/>
    <w:rPr>
      <w:rFonts w:ascii="Aptos" w:hAnsi="Aptos"/>
      <w:b/>
      <w:bCs/>
      <w:color w:val="27313A"/>
      <w:sz w:val="20"/>
      <w:szCs w:val="20"/>
    </w:rPr>
  </w:style>
  <w:style w:type="paragraph" w:styleId="Revision">
    <w:name w:val="Revision"/>
    <w:hidden/>
    <w:uiPriority w:val="99"/>
    <w:semiHidden/>
    <w:rsid w:val="004A5848"/>
    <w:pPr>
      <w:spacing w:after="0" w:line="240" w:lineRule="auto"/>
    </w:pPr>
    <w:rPr>
      <w:rFonts w:ascii="Aptos" w:hAnsi="Aptos"/>
      <w:color w:val="27313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487</Words>
  <Characters>3090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CGIC / NIBIN 101 - 10-15 Minute Roll-Call Briefing</vt:lpstr>
    </vt:vector>
  </TitlesOfParts>
  <Manager/>
  <Company/>
  <LinksUpToDate>false</LinksUpToDate>
  <CharactersWithSpaces>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CGIC / NIBIN 101 - 10-15 Minute Roll-Call Briefing</dc:title>
  <dc:subject>Agency-neutral facilitator guide for patrol orientation</dc:subject>
  <dc:creator>NPI</dc:creator>
  <cp:keywords/>
  <dc:description/>
  <cp:lastModifiedBy>Alan Hughes</cp:lastModifiedBy>
  <cp:revision>14</cp:revision>
  <dcterms:created xsi:type="dcterms:W3CDTF">2026-08-11T20:48:00Z</dcterms:created>
  <dcterms:modified xsi:type="dcterms:W3CDTF">2026-09-28T23:18:00Z</dcterms:modified>
  <cp:category/>
</cp:coreProperties>
</file>